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87" w:rsidRPr="00FC7D26" w:rsidRDefault="00184C87" w:rsidP="00184C87">
      <w:pPr>
        <w:rPr>
          <w:rFonts w:ascii="新細明體" w:eastAsia="新細明體" w:hAnsi="新細明體" w:cs="新細明體"/>
          <w:b/>
          <w:lang w:eastAsia="zh-TW"/>
        </w:rPr>
      </w:pPr>
      <w:r w:rsidRPr="00FC7D26">
        <w:rPr>
          <w:rFonts w:ascii="新細明體" w:eastAsia="新細明體" w:hAnsi="新細明體" w:cs="新細明體" w:hint="eastAsia"/>
          <w:b/>
          <w:lang w:eastAsia="zh-TW"/>
        </w:rPr>
        <w:t>及時發佈</w:t>
      </w:r>
    </w:p>
    <w:p w:rsidR="00184C87" w:rsidRPr="00FC7D26" w:rsidRDefault="00184C87" w:rsidP="00184C87">
      <w:pPr>
        <w:rPr>
          <w:rFonts w:ascii="新細明體" w:eastAsia="新細明體" w:hAnsi="新細明體" w:cs="新細明體"/>
          <w:b/>
          <w:lang w:eastAsia="zh-TW"/>
        </w:rPr>
      </w:pPr>
      <w:r w:rsidRPr="00FC7D26">
        <w:rPr>
          <w:rFonts w:ascii="新細明體" w:eastAsia="新細明體" w:hAnsi="新細明體" w:cs="新細明體"/>
          <w:b/>
          <w:lang w:eastAsia="zh-TW"/>
        </w:rPr>
        <w:t>2014</w:t>
      </w:r>
      <w:r w:rsidR="0096328E" w:rsidRPr="00FC7D26">
        <w:rPr>
          <w:rFonts w:ascii="新細明體" w:eastAsia="新細明體" w:hAnsi="新細明體" w:cs="新細明體" w:hint="eastAsia"/>
          <w:b/>
          <w:lang w:eastAsia="zh-TW"/>
        </w:rPr>
        <w:t xml:space="preserve"> </w:t>
      </w:r>
      <w:r w:rsidR="0041774A" w:rsidRPr="00FC7D26">
        <w:rPr>
          <w:rFonts w:ascii="新細明體" w:eastAsia="新細明體" w:hAnsi="新細明體" w:cs="新細明體" w:hint="eastAsia"/>
          <w:b/>
          <w:lang w:eastAsia="zh-TW"/>
        </w:rPr>
        <w:t xml:space="preserve">年 </w:t>
      </w:r>
      <w:r w:rsidR="0096328E" w:rsidRPr="00FC7D26">
        <w:rPr>
          <w:rFonts w:ascii="新細明體" w:eastAsia="新細明體" w:hAnsi="新細明體" w:cs="新細明體" w:hint="eastAsia"/>
          <w:b/>
          <w:lang w:eastAsia="zh-TW"/>
        </w:rPr>
        <w:t>六月</w:t>
      </w:r>
    </w:p>
    <w:p w:rsidR="0041774A" w:rsidRPr="00FC7D26" w:rsidRDefault="0041774A" w:rsidP="00184C87">
      <w:pPr>
        <w:rPr>
          <w:rFonts w:ascii="新細明體" w:eastAsia="新細明體" w:hAnsi="新細明體" w:cs="新細明體"/>
          <w:b/>
          <w:lang w:eastAsia="zh-TW"/>
        </w:rPr>
      </w:pPr>
    </w:p>
    <w:p w:rsidR="00184C87" w:rsidRPr="00FC7D26" w:rsidRDefault="00184C87" w:rsidP="00184C87">
      <w:pPr>
        <w:rPr>
          <w:rFonts w:ascii="新細明體" w:eastAsia="新細明體" w:hAnsi="新細明體" w:cs="新細明體"/>
          <w:b/>
          <w:lang w:eastAsia="zh-TW"/>
        </w:rPr>
      </w:pPr>
      <w:r w:rsidRPr="00FC7D26">
        <w:rPr>
          <w:rFonts w:ascii="新細明體" w:eastAsia="新細明體" w:hAnsi="新細明體" w:cs="新細明體" w:hint="eastAsia"/>
          <w:b/>
          <w:lang w:eastAsia="zh-TW"/>
        </w:rPr>
        <w:t>媒體聯絡人：學術交流基金會 邱柏耘先生</w:t>
      </w:r>
      <w:bookmarkStart w:id="0" w:name="_GoBack"/>
      <w:bookmarkEnd w:id="0"/>
    </w:p>
    <w:p w:rsidR="00184C87" w:rsidRPr="00FC7D26" w:rsidRDefault="00184C87" w:rsidP="00184C87">
      <w:pPr>
        <w:rPr>
          <w:rFonts w:ascii="新細明體" w:eastAsia="新細明體" w:hAnsi="新細明體" w:cs="新細明體"/>
          <w:b/>
          <w:lang w:eastAsia="zh-TW"/>
        </w:rPr>
      </w:pPr>
    </w:p>
    <w:p w:rsidR="00184C87" w:rsidRPr="00FC7D26" w:rsidRDefault="00184C87" w:rsidP="00184C87">
      <w:pPr>
        <w:rPr>
          <w:rFonts w:ascii="新細明體" w:eastAsia="新細明體" w:hAnsi="新細明體" w:cs="新細明體"/>
          <w:b/>
          <w:lang w:eastAsia="zh-TW"/>
        </w:rPr>
      </w:pPr>
      <w:r w:rsidRPr="00FC7D26">
        <w:rPr>
          <w:rFonts w:ascii="新細明體" w:eastAsia="新細明體" w:hAnsi="新細明體" w:cs="新細明體" w:hint="eastAsia"/>
          <w:b/>
          <w:lang w:eastAsia="zh-TW"/>
        </w:rPr>
        <w:t>傅爾布萊特獎學金額度增加並增設新獎項</w:t>
      </w:r>
    </w:p>
    <w:p w:rsidR="00184C87" w:rsidRPr="00FC7D26" w:rsidRDefault="00184C87" w:rsidP="00184C87">
      <w:pPr>
        <w:rPr>
          <w:rFonts w:ascii="新細明體" w:eastAsia="新細明體" w:hAnsi="新細明體" w:cs="新細明體"/>
          <w:i/>
          <w:lang w:eastAsia="zh-TW"/>
        </w:rPr>
      </w:pPr>
      <w:r w:rsidRPr="00FC7D26">
        <w:rPr>
          <w:rFonts w:ascii="新細明體" w:eastAsia="新細明體" w:hAnsi="新細明體" w:cs="新細明體" w:hint="eastAsia"/>
          <w:i/>
          <w:lang w:eastAsia="zh-TW"/>
        </w:rPr>
        <w:t>臺美學術交流的新哩程</w:t>
      </w:r>
    </w:p>
    <w:p w:rsidR="00184C87" w:rsidRPr="00FC7D26" w:rsidRDefault="00184C87" w:rsidP="00184C87">
      <w:pPr>
        <w:rPr>
          <w:rFonts w:ascii="新細明體" w:eastAsia="新細明體" w:hAnsi="新細明體" w:cs="新細明體"/>
          <w:lang w:eastAsia="zh-TW"/>
        </w:rPr>
      </w:pPr>
    </w:p>
    <w:p w:rsidR="00970F80" w:rsidRPr="00FC7D26" w:rsidRDefault="00970F80" w:rsidP="00970F80">
      <w:pPr>
        <w:rPr>
          <w:rFonts w:ascii="新細明體" w:eastAsia="新細明體" w:hAnsi="新細明體" w:cs="新細明體"/>
          <w:lang w:eastAsia="zh-TW"/>
        </w:rPr>
      </w:pPr>
      <w:r w:rsidRPr="00FC7D26">
        <w:rPr>
          <w:rFonts w:ascii="新細明體" w:eastAsia="新細明體" w:hAnsi="新細明體" w:cs="新細明體"/>
          <w:lang w:eastAsia="zh-TW"/>
        </w:rPr>
        <w:t>(</w:t>
      </w:r>
      <w:proofErr w:type="gramStart"/>
      <w:r w:rsidRPr="00FC7D26">
        <w:rPr>
          <w:rFonts w:ascii="新細明體" w:eastAsia="新細明體" w:hAnsi="新細明體" w:cs="新細明體" w:hint="eastAsia"/>
          <w:lang w:eastAsia="zh-TW"/>
        </w:rPr>
        <w:t>臺</w:t>
      </w:r>
      <w:proofErr w:type="gramEnd"/>
      <w:r w:rsidRPr="00FC7D26">
        <w:rPr>
          <w:rFonts w:ascii="新細明體" w:eastAsia="新細明體" w:hAnsi="新細明體" w:cs="新細明體" w:hint="eastAsia"/>
          <w:lang w:eastAsia="zh-TW"/>
        </w:rPr>
        <w:t>北，台灣</w:t>
      </w:r>
      <w:r w:rsidRPr="00FC7D26">
        <w:rPr>
          <w:rFonts w:ascii="新細明體" w:eastAsia="新細明體" w:hAnsi="新細明體" w:cs="新細明體"/>
          <w:lang w:eastAsia="zh-TW"/>
        </w:rPr>
        <w:t>)</w:t>
      </w:r>
      <w:r w:rsidRPr="00FC7D26">
        <w:rPr>
          <w:rFonts w:ascii="新細明體" w:eastAsia="新細明體" w:hAnsi="新細明體" w:cs="新細明體" w:hint="eastAsia"/>
          <w:lang w:eastAsia="zh-TW"/>
        </w:rPr>
        <w:t>學術交流基金會(Fulbright Taiwan)董事會決定</w:t>
      </w:r>
      <w:r w:rsidRPr="00FC7D26">
        <w:rPr>
          <w:rFonts w:ascii="新細明體" w:eastAsia="新細明體" w:hAnsi="新細明體" w:cs="新細明體" w:hint="eastAsia"/>
          <w:u w:val="single"/>
          <w:lang w:eastAsia="zh-TW"/>
        </w:rPr>
        <w:t>大幅提高傅爾布</w:t>
      </w:r>
      <w:proofErr w:type="gramStart"/>
      <w:r w:rsidRPr="00FC7D26">
        <w:rPr>
          <w:rFonts w:ascii="新細明體" w:eastAsia="新細明體" w:hAnsi="新細明體" w:cs="新細明體" w:hint="eastAsia"/>
          <w:u w:val="single"/>
          <w:lang w:eastAsia="zh-TW"/>
        </w:rPr>
        <w:t>萊特</w:t>
      </w:r>
      <w:proofErr w:type="gramEnd"/>
      <w:r w:rsidRPr="00FC7D26">
        <w:rPr>
          <w:rFonts w:ascii="新細明體" w:eastAsia="新細明體" w:hAnsi="新細明體" w:cs="新細明體" w:hint="eastAsia"/>
          <w:u w:val="single"/>
          <w:lang w:eastAsia="zh-TW"/>
        </w:rPr>
        <w:t>獎學金額度</w:t>
      </w:r>
      <w:r w:rsidRPr="00FC7D26">
        <w:rPr>
          <w:rFonts w:ascii="新細明體" w:eastAsia="新細明體" w:hAnsi="新細明體" w:cs="新細明體" w:hint="eastAsia"/>
          <w:lang w:eastAsia="zh-TW"/>
        </w:rPr>
        <w:t>來因應</w:t>
      </w:r>
      <w:r>
        <w:rPr>
          <w:rFonts w:ascii="新細明體" w:eastAsia="新細明體" w:hAnsi="新細明體" w:cs="新細明體" w:hint="eastAsia"/>
          <w:lang w:eastAsia="zh-TW"/>
        </w:rPr>
        <w:t>近來物價波動</w:t>
      </w:r>
      <w:r w:rsidRPr="00FC7D26">
        <w:rPr>
          <w:rFonts w:ascii="新細明體" w:eastAsia="新細明體" w:hAnsi="新細明體" w:cs="新細明體" w:hint="eastAsia"/>
          <w:lang w:eastAsia="zh-TW"/>
        </w:rPr>
        <w:t>。這項決策將提高台灣赴美攻讀博士學生與研究學者的獎助金額。</w:t>
      </w:r>
    </w:p>
    <w:p w:rsidR="00970F80" w:rsidRPr="00FC7D26" w:rsidRDefault="00970F80" w:rsidP="00970F80">
      <w:pPr>
        <w:pStyle w:val="a9"/>
        <w:numPr>
          <w:ilvl w:val="0"/>
          <w:numId w:val="5"/>
        </w:numPr>
        <w:ind w:leftChars="0"/>
        <w:rPr>
          <w:rFonts w:ascii="新細明體" w:eastAsia="新細明體" w:hAnsi="新細明體" w:cs="新細明體"/>
          <w:lang w:eastAsia="zh-TW"/>
        </w:rPr>
      </w:pPr>
      <w:r w:rsidRPr="00FC7D26">
        <w:rPr>
          <w:rFonts w:ascii="新細明體" w:eastAsia="新細明體" w:hAnsi="新細明體" w:cs="新細明體" w:hint="eastAsia"/>
          <w:lang w:eastAsia="zh-TW"/>
        </w:rPr>
        <w:t>博士學位學生獎學金：提供1名全額獎助，最多新台幣150萬元（美金</w:t>
      </w:r>
      <w:r w:rsidRPr="00FC7D26">
        <w:rPr>
          <w:rFonts w:ascii="新細明體" w:eastAsia="新細明體" w:hAnsi="新細明體" w:cs="新細明體"/>
          <w:lang w:eastAsia="zh-TW"/>
        </w:rPr>
        <w:t>5</w:t>
      </w:r>
      <w:r w:rsidRPr="00FC7D26">
        <w:rPr>
          <w:rFonts w:ascii="新細明體" w:eastAsia="新細明體" w:hAnsi="新細明體" w:cs="新細明體" w:hint="eastAsia"/>
          <w:lang w:eastAsia="zh-TW"/>
        </w:rPr>
        <w:t>0</w:t>
      </w:r>
      <w:r w:rsidRPr="00FC7D26">
        <w:rPr>
          <w:rFonts w:ascii="新細明體" w:eastAsia="新細明體" w:hAnsi="新細明體" w:cs="新細明體"/>
          <w:lang w:eastAsia="zh-TW"/>
        </w:rPr>
        <w:t>,000</w:t>
      </w:r>
      <w:r w:rsidRPr="00FC7D26">
        <w:rPr>
          <w:rFonts w:ascii="新細明體" w:eastAsia="新細明體" w:hAnsi="新細明體" w:cs="新細明體" w:hint="eastAsia"/>
          <w:lang w:eastAsia="zh-TW"/>
        </w:rPr>
        <w:t>元）。另有12名部分獎助，每位新台幣45萬元（美金1</w:t>
      </w:r>
      <w:r w:rsidRPr="00FC7D26">
        <w:rPr>
          <w:rFonts w:ascii="新細明體" w:eastAsia="新細明體" w:hAnsi="新細明體" w:cs="新細明體"/>
          <w:lang w:eastAsia="zh-TW"/>
        </w:rPr>
        <w:t>5,000</w:t>
      </w:r>
      <w:r w:rsidRPr="00FC7D26">
        <w:rPr>
          <w:rFonts w:ascii="新細明體" w:eastAsia="新細明體" w:hAnsi="新細明體" w:cs="新細明體" w:hint="eastAsia"/>
          <w:lang w:eastAsia="zh-TW"/>
        </w:rPr>
        <w:t>元）</w:t>
      </w:r>
    </w:p>
    <w:p w:rsidR="00970F80" w:rsidRPr="00FC7D26" w:rsidRDefault="00970F80" w:rsidP="00970F80">
      <w:pPr>
        <w:pStyle w:val="a9"/>
        <w:numPr>
          <w:ilvl w:val="0"/>
          <w:numId w:val="5"/>
        </w:numPr>
        <w:ind w:leftChars="0"/>
        <w:rPr>
          <w:rFonts w:ascii="新細明體" w:eastAsia="新細明體" w:hAnsi="新細明體" w:cs="新細明體"/>
          <w:lang w:eastAsia="zh-TW"/>
        </w:rPr>
      </w:pPr>
      <w:r w:rsidRPr="00FC7D26">
        <w:rPr>
          <w:rFonts w:ascii="新細明體" w:eastAsia="新細明體" w:hAnsi="新細明體" w:cs="新細明體" w:hint="eastAsia"/>
          <w:lang w:eastAsia="zh-TW"/>
        </w:rPr>
        <w:t>資深學者獎助金：提供1名全額獎助，最多新台幣120萬元（美金40</w:t>
      </w:r>
      <w:r w:rsidRPr="00FC7D26">
        <w:rPr>
          <w:rFonts w:ascii="新細明體" w:eastAsia="新細明體" w:hAnsi="新細明體" w:cs="新細明體"/>
          <w:lang w:eastAsia="zh-TW"/>
        </w:rPr>
        <w:t>,000</w:t>
      </w:r>
      <w:r w:rsidRPr="00FC7D26">
        <w:rPr>
          <w:rFonts w:ascii="新細明體" w:eastAsia="新細明體" w:hAnsi="新細明體" w:cs="新細明體" w:hint="eastAsia"/>
          <w:lang w:eastAsia="zh-TW"/>
        </w:rPr>
        <w:t>元）。另有25位部分獎助，每名新台幣45萬元（美金1</w:t>
      </w:r>
      <w:r w:rsidRPr="00FC7D26">
        <w:rPr>
          <w:rFonts w:ascii="新細明體" w:eastAsia="新細明體" w:hAnsi="新細明體" w:cs="新細明體"/>
          <w:lang w:eastAsia="zh-TW"/>
        </w:rPr>
        <w:t>5,000</w:t>
      </w:r>
      <w:r w:rsidRPr="00FC7D26">
        <w:rPr>
          <w:rFonts w:ascii="新細明體" w:eastAsia="新細明體" w:hAnsi="新細明體" w:cs="新細明體" w:hint="eastAsia"/>
          <w:lang w:eastAsia="zh-TW"/>
        </w:rPr>
        <w:t>元）</w:t>
      </w:r>
    </w:p>
    <w:p w:rsidR="00184C87" w:rsidRPr="00970F80" w:rsidRDefault="00184C87" w:rsidP="00184C87">
      <w:pPr>
        <w:rPr>
          <w:rFonts w:ascii="新細明體" w:eastAsia="新細明體" w:hAnsi="新細明體" w:cs="新細明體"/>
          <w:lang w:eastAsia="zh-TW"/>
        </w:rPr>
      </w:pPr>
    </w:p>
    <w:p w:rsidR="00184C87" w:rsidRPr="00FC7D26" w:rsidRDefault="00184C87" w:rsidP="00184C87">
      <w:pPr>
        <w:rPr>
          <w:rFonts w:ascii="新細明體" w:eastAsia="新細明體" w:hAnsi="新細明體" w:cs="新細明體"/>
          <w:lang w:eastAsia="zh-TW"/>
        </w:rPr>
      </w:pPr>
      <w:r w:rsidRPr="00FC7D26">
        <w:rPr>
          <w:rFonts w:ascii="新細明體" w:eastAsia="新細明體" w:hAnsi="新細明體" w:cs="新細明體" w:hint="eastAsia"/>
          <w:lang w:eastAsia="zh-TW"/>
        </w:rPr>
        <w:t>除了獎助金額提高外，基金會亦增設多樣新獎項，包括：</w:t>
      </w:r>
    </w:p>
    <w:p w:rsidR="00184C87" w:rsidRPr="00FC7D26" w:rsidRDefault="00184C87" w:rsidP="00184C87">
      <w:pPr>
        <w:pStyle w:val="a9"/>
        <w:numPr>
          <w:ilvl w:val="0"/>
          <w:numId w:val="6"/>
        </w:numPr>
        <w:ind w:leftChars="0"/>
        <w:rPr>
          <w:rFonts w:ascii="新細明體" w:eastAsia="新細明體" w:hAnsi="新細明體" w:cs="新細明體"/>
          <w:lang w:eastAsia="zh-TW"/>
        </w:rPr>
      </w:pPr>
      <w:r w:rsidRPr="00FC7D26">
        <w:rPr>
          <w:rFonts w:ascii="新細明體" w:eastAsia="新細明體" w:hAnsi="新細明體" w:cs="新細明體" w:hint="eastAsia"/>
          <w:u w:val="single"/>
          <w:lang w:eastAsia="zh-TW"/>
        </w:rPr>
        <w:t>早期療</w:t>
      </w:r>
      <w:r w:rsidR="0012699C" w:rsidRPr="00FC7D26">
        <w:rPr>
          <w:rFonts w:ascii="新細明體" w:eastAsia="新細明體" w:hAnsi="新細明體" w:cs="新細明體" w:hint="eastAsia"/>
          <w:u w:val="single"/>
          <w:lang w:eastAsia="zh-TW"/>
        </w:rPr>
        <w:t>育</w:t>
      </w:r>
      <w:r w:rsidRPr="00FC7D26">
        <w:rPr>
          <w:rFonts w:ascii="新細明體" w:eastAsia="新細明體" w:hAnsi="新細明體" w:cs="新細明體" w:hint="eastAsia"/>
          <w:lang w:eastAsia="zh-TW"/>
        </w:rPr>
        <w:t>與</w:t>
      </w:r>
      <w:r w:rsidRPr="00FC7D26">
        <w:rPr>
          <w:rFonts w:ascii="新細明體" w:eastAsia="新細明體" w:hAnsi="新細明體" w:cs="新細明體" w:hint="eastAsia"/>
          <w:u w:val="single"/>
          <w:lang w:eastAsia="zh-TW"/>
        </w:rPr>
        <w:t>老人健康促進</w:t>
      </w:r>
      <w:r w:rsidRPr="00FC7D26">
        <w:rPr>
          <w:rFonts w:ascii="新細明體" w:eastAsia="新細明體" w:hAnsi="新細明體" w:cs="新細明體" w:hint="eastAsia"/>
          <w:lang w:eastAsia="zh-TW"/>
        </w:rPr>
        <w:t>是台灣社會福利的重要趨勢</w:t>
      </w:r>
      <w:r w:rsidR="0012699C" w:rsidRPr="00FC7D26">
        <w:rPr>
          <w:rFonts w:ascii="新細明體" w:eastAsia="新細明體" w:hAnsi="新細明體" w:cs="新細明體" w:hint="eastAsia"/>
          <w:lang w:eastAsia="zh-TW"/>
        </w:rPr>
        <w:t>。</w:t>
      </w:r>
      <w:r w:rsidRPr="00FC7D26">
        <w:rPr>
          <w:rFonts w:ascii="新細明體" w:eastAsia="新細明體" w:hAnsi="新細明體" w:cs="新細明體" w:hint="eastAsia"/>
          <w:lang w:eastAsia="zh-TW"/>
        </w:rPr>
        <w:t>為充實這兩大領域專家學者的知識交流與建構機制，學術交流基金會與深</w:t>
      </w:r>
      <w:r w:rsidR="0012699C" w:rsidRPr="00FC7D26">
        <w:rPr>
          <w:rFonts w:ascii="新細明體" w:eastAsia="新細明體" w:hAnsi="新細明體" w:cs="新細明體" w:hint="eastAsia"/>
          <w:lang w:eastAsia="zh-TW"/>
        </w:rPr>
        <w:t>耕</w:t>
      </w:r>
      <w:r w:rsidR="00970F80" w:rsidRPr="00FC7D26">
        <w:rPr>
          <w:rFonts w:ascii="新細明體" w:eastAsia="新細明體" w:hAnsi="新細明體" w:cs="新細明體" w:hint="eastAsia"/>
          <w:u w:val="single"/>
          <w:lang w:eastAsia="zh-TW"/>
        </w:rPr>
        <w:t>早期療育</w:t>
      </w:r>
      <w:r w:rsidR="00970F80" w:rsidRPr="00FC7D26">
        <w:rPr>
          <w:rFonts w:ascii="新細明體" w:eastAsia="新細明體" w:hAnsi="新細明體" w:cs="新細明體" w:hint="eastAsia"/>
          <w:lang w:eastAsia="zh-TW"/>
        </w:rPr>
        <w:t>與</w:t>
      </w:r>
      <w:r w:rsidR="00970F80" w:rsidRPr="00FC7D26">
        <w:rPr>
          <w:rFonts w:ascii="新細明體" w:eastAsia="新細明體" w:hAnsi="新細明體" w:cs="新細明體" w:hint="eastAsia"/>
          <w:u w:val="single"/>
          <w:lang w:eastAsia="zh-TW"/>
        </w:rPr>
        <w:t>老人健康促進</w:t>
      </w:r>
      <w:r w:rsidRPr="00FC7D26">
        <w:rPr>
          <w:rFonts w:ascii="新細明體" w:eastAsia="新細明體" w:hAnsi="新細明體" w:cs="新細明體" w:hint="eastAsia"/>
          <w:lang w:eastAsia="zh-TW"/>
        </w:rPr>
        <w:t>領域多年的台塑集團共同成立全新獎學金項目：「傅爾布萊特－台塑關係企業獎助學金」。</w:t>
      </w:r>
    </w:p>
    <w:p w:rsidR="00184C87" w:rsidRPr="00FC7D26" w:rsidRDefault="00184C87" w:rsidP="00184C87">
      <w:pPr>
        <w:pStyle w:val="a9"/>
        <w:numPr>
          <w:ilvl w:val="1"/>
          <w:numId w:val="6"/>
        </w:numPr>
        <w:ind w:leftChars="0"/>
        <w:rPr>
          <w:rFonts w:ascii="新細明體" w:eastAsia="新細明體" w:hAnsi="新細明體" w:cs="新細明體"/>
          <w:lang w:eastAsia="zh-TW"/>
        </w:rPr>
      </w:pPr>
      <w:r w:rsidRPr="00FC7D26">
        <w:rPr>
          <w:rFonts w:ascii="新細明體" w:eastAsia="新細明體" w:hAnsi="新細明體" w:cs="新細明體" w:hint="eastAsia"/>
          <w:u w:val="single"/>
          <w:lang w:eastAsia="zh-TW"/>
        </w:rPr>
        <w:t>資深學者</w:t>
      </w:r>
      <w:r w:rsidR="00D87FF4" w:rsidRPr="00FC7D26">
        <w:rPr>
          <w:rFonts w:ascii="新細明體" w:eastAsia="新細明體" w:hAnsi="新細明體" w:cs="新細明體" w:hint="eastAsia"/>
          <w:lang w:eastAsia="zh-TW"/>
        </w:rPr>
        <w:t>類</w:t>
      </w:r>
    </w:p>
    <w:p w:rsidR="00184C87" w:rsidRPr="00FC7D26" w:rsidRDefault="00184C87" w:rsidP="00184C87">
      <w:pPr>
        <w:pStyle w:val="a9"/>
        <w:numPr>
          <w:ilvl w:val="1"/>
          <w:numId w:val="6"/>
        </w:numPr>
        <w:ind w:leftChars="0"/>
        <w:rPr>
          <w:rFonts w:ascii="新細明體" w:eastAsia="新細明體" w:hAnsi="新細明體" w:cs="新細明體"/>
          <w:lang w:eastAsia="zh-TW"/>
        </w:rPr>
      </w:pPr>
      <w:r w:rsidRPr="00FC7D26">
        <w:rPr>
          <w:rFonts w:ascii="新細明體" w:eastAsia="新細明體" w:hAnsi="新細明體" w:cs="新細明體" w:hint="eastAsia"/>
          <w:u w:val="single"/>
          <w:lang w:eastAsia="zh-TW"/>
        </w:rPr>
        <w:t>專業人員</w:t>
      </w:r>
      <w:r w:rsidR="00D87FF4" w:rsidRPr="00FC7D26">
        <w:rPr>
          <w:rFonts w:ascii="新細明體" w:eastAsia="新細明體" w:hAnsi="新細明體" w:cs="新細明體" w:hint="eastAsia"/>
          <w:lang w:eastAsia="zh-TW"/>
        </w:rPr>
        <w:t>類</w:t>
      </w:r>
    </w:p>
    <w:p w:rsidR="00184C87" w:rsidRDefault="00970F80" w:rsidP="00184C87">
      <w:pPr>
        <w:rPr>
          <w:rFonts w:ascii="新細明體" w:eastAsia="新細明體" w:hAnsi="新細明體" w:cs="新細明體"/>
          <w:lang w:eastAsia="zh-TW"/>
        </w:rPr>
      </w:pPr>
      <w:r w:rsidRPr="00FC7D26">
        <w:rPr>
          <w:rFonts w:ascii="新細明體" w:eastAsia="新細明體" w:hAnsi="新細明體" w:cs="新細明體" w:hint="eastAsia"/>
          <w:lang w:eastAsia="zh-TW"/>
        </w:rPr>
        <w:t>學術交流基金會與美國杜蘭大學法學院</w:t>
      </w:r>
      <w:r>
        <w:rPr>
          <w:rFonts w:ascii="新細明體" w:eastAsia="新細明體" w:hAnsi="新細明體" w:cs="新細明體"/>
          <w:lang w:eastAsia="zh-TW"/>
        </w:rPr>
        <w:t xml:space="preserve"> </w:t>
      </w:r>
      <w:r>
        <w:rPr>
          <w:rFonts w:ascii="新細明體" w:eastAsia="新細明體" w:hAnsi="新細明體" w:cs="新細明體" w:hint="eastAsia"/>
          <w:lang w:eastAsia="zh-TW"/>
        </w:rPr>
        <w:t>(</w:t>
      </w:r>
      <w:proofErr w:type="spellStart"/>
      <w:r>
        <w:rPr>
          <w:rFonts w:ascii="新細明體" w:eastAsia="新細明體" w:hAnsi="新細明體" w:cs="新細明體"/>
          <w:lang w:eastAsia="zh-TW"/>
        </w:rPr>
        <w:t>Tulan</w:t>
      </w:r>
      <w:proofErr w:type="spellEnd"/>
      <w:r>
        <w:rPr>
          <w:rFonts w:ascii="新細明體" w:eastAsia="新細明體" w:hAnsi="新細明體" w:cs="新細明體"/>
          <w:lang w:eastAsia="zh-TW"/>
        </w:rPr>
        <w:t xml:space="preserve"> University Law School)</w:t>
      </w:r>
      <w:r w:rsidRPr="00FC7D26">
        <w:rPr>
          <w:rFonts w:ascii="新細明體" w:eastAsia="新細明體" w:hAnsi="新細明體" w:cs="新細明體" w:hint="eastAsia"/>
          <w:lang w:eastAsia="zh-TW"/>
        </w:rPr>
        <w:t>合作成立</w:t>
      </w:r>
      <w:r w:rsidRPr="00FC7D26">
        <w:rPr>
          <w:rFonts w:ascii="新細明體" w:eastAsia="新細明體" w:hAnsi="新細明體" w:cs="新細明體" w:hint="eastAsia"/>
          <w:u w:val="single"/>
          <w:lang w:eastAsia="zh-TW"/>
        </w:rPr>
        <w:t>攻讀法學碩士學位</w:t>
      </w:r>
      <w:r w:rsidRPr="00FC7D26">
        <w:rPr>
          <w:rFonts w:ascii="新細明體" w:eastAsia="新細明體" w:hAnsi="新細明體" w:cs="新細明體" w:hint="eastAsia"/>
          <w:lang w:eastAsia="zh-TW"/>
        </w:rPr>
        <w:t>獎助金。該校位於美國路易西安納州，是美國50州中唯一</w:t>
      </w:r>
      <w:proofErr w:type="gramStart"/>
      <w:r w:rsidRPr="00FC7D26">
        <w:rPr>
          <w:rFonts w:ascii="新細明體" w:eastAsia="新細明體" w:hAnsi="新細明體" w:cs="新細明體" w:hint="eastAsia"/>
          <w:lang w:eastAsia="zh-TW"/>
        </w:rPr>
        <w:t>一</w:t>
      </w:r>
      <w:proofErr w:type="gramEnd"/>
      <w:r w:rsidRPr="00FC7D26">
        <w:rPr>
          <w:rFonts w:ascii="新細明體" w:eastAsia="新細明體" w:hAnsi="新細明體" w:cs="新細明體" w:hint="eastAsia"/>
          <w:lang w:eastAsia="zh-TW"/>
        </w:rPr>
        <w:t>州與台灣一樣採用歐陸法系作為立法基礎。</w:t>
      </w:r>
    </w:p>
    <w:p w:rsidR="00970F80" w:rsidRPr="00FC7D26" w:rsidRDefault="00970F80" w:rsidP="00184C87">
      <w:pPr>
        <w:rPr>
          <w:rFonts w:ascii="新細明體" w:eastAsia="新細明體" w:hAnsi="新細明體" w:cs="新細明體"/>
          <w:lang w:eastAsia="zh-TW"/>
        </w:rPr>
      </w:pPr>
    </w:p>
    <w:p w:rsidR="00970F80" w:rsidRPr="00B105C2" w:rsidRDefault="00970F80" w:rsidP="00970F80">
      <w:pPr>
        <w:rPr>
          <w:rFonts w:ascii="Times New Roman" w:hAnsi="Times New Roman" w:cs="Times New Roman"/>
          <w:color w:val="000000"/>
          <w:lang w:eastAsia="zh-TW"/>
        </w:rPr>
      </w:pPr>
      <w:r w:rsidRPr="00FC7D26">
        <w:rPr>
          <w:rFonts w:ascii="新細明體" w:eastAsia="新細明體" w:hAnsi="新細明體" w:cs="新細明體" w:hint="eastAsia"/>
          <w:lang w:eastAsia="zh-TW"/>
        </w:rPr>
        <w:t>學術交流基金會執行長李</w:t>
      </w:r>
      <w:r>
        <w:rPr>
          <w:rFonts w:ascii="新細明體" w:eastAsia="新細明體" w:hAnsi="新細明體" w:cs="新細明體" w:hint="eastAsia"/>
          <w:lang w:eastAsia="zh-TW"/>
        </w:rPr>
        <w:t>沃奇</w:t>
      </w:r>
      <w:r w:rsidRPr="00FC7D26">
        <w:rPr>
          <w:rFonts w:ascii="新細明體" w:eastAsia="新細明體" w:hAnsi="新細明體" w:cs="新細明體" w:hint="eastAsia"/>
          <w:lang w:eastAsia="zh-TW"/>
        </w:rPr>
        <w:t>博士</w:t>
      </w:r>
      <w:r>
        <w:rPr>
          <w:rFonts w:ascii="新細明體" w:eastAsia="新細明體" w:hAnsi="新細明體" w:cs="新細明體"/>
          <w:lang w:eastAsia="zh-TW"/>
        </w:rPr>
        <w:t>(</w:t>
      </w:r>
      <w:r>
        <w:rPr>
          <w:rFonts w:ascii="Times New Roman" w:hAnsi="Times New Roman" w:cs="Times New Roman"/>
          <w:color w:val="000000"/>
          <w:lang w:eastAsia="zh-TW"/>
        </w:rPr>
        <w:t>William C. Vocke)</w:t>
      </w:r>
      <w:r w:rsidRPr="00FC7D26">
        <w:rPr>
          <w:rFonts w:ascii="新細明體" w:eastAsia="新細明體" w:hAnsi="新細明體" w:cs="新細明體" w:hint="eastAsia"/>
          <w:lang w:eastAsia="zh-TW"/>
        </w:rPr>
        <w:t>表示，「傅爾布萊特－台塑關係企業獎助學金」為第一個美國傅爾布萊特計劃與台灣民間企業合作之獎學金，象徵著現今台灣企業除了關注台灣本土問題，更願意跨出下一步，與國際接軌，非常值得肯定。而</w:t>
      </w:r>
      <w:r>
        <w:rPr>
          <w:rFonts w:ascii="新細明體" w:eastAsia="新細明體" w:hAnsi="新細明體" w:cs="新細明體" w:hint="eastAsia"/>
          <w:lang w:eastAsia="zh-TW"/>
        </w:rPr>
        <w:t>與杜蘭大學合作的</w:t>
      </w:r>
      <w:r w:rsidRPr="00FC7D26">
        <w:rPr>
          <w:rFonts w:ascii="新細明體" w:eastAsia="新細明體" w:hAnsi="新細明體" w:cs="新細明體" w:hint="eastAsia"/>
          <w:lang w:eastAsia="zh-TW"/>
        </w:rPr>
        <w:t>「傅爾布萊特法學碩士獎學金」亦是</w:t>
      </w:r>
      <w:r>
        <w:rPr>
          <w:rFonts w:ascii="新細明體" w:eastAsia="新細明體" w:hAnsi="新細明體" w:cs="新細明體" w:hint="eastAsia"/>
          <w:lang w:eastAsia="zh-TW"/>
        </w:rPr>
        <w:t>提供</w:t>
      </w:r>
      <w:r w:rsidRPr="00FC7D26">
        <w:rPr>
          <w:rFonts w:ascii="新細明體" w:eastAsia="新細明體" w:hAnsi="新細明體" w:cs="新細明體" w:hint="eastAsia"/>
          <w:lang w:eastAsia="zh-TW"/>
        </w:rPr>
        <w:t>台灣學生在國際教育上發光發熱機會的新里程碑。</w:t>
      </w:r>
    </w:p>
    <w:p w:rsidR="00184C87" w:rsidRPr="00970F80" w:rsidRDefault="00184C87" w:rsidP="00184C87">
      <w:pPr>
        <w:rPr>
          <w:rFonts w:ascii="新細明體" w:eastAsia="新細明體" w:hAnsi="新細明體" w:cs="新細明體"/>
          <w:lang w:eastAsia="zh-TW"/>
        </w:rPr>
      </w:pPr>
    </w:p>
    <w:p w:rsidR="00970F80" w:rsidRPr="00970F80" w:rsidRDefault="00970F80" w:rsidP="00970F80">
      <w:pPr>
        <w:rPr>
          <w:rFonts w:ascii="新細明體" w:eastAsia="新細明體" w:hAnsi="新細明體" w:cs="新細明體"/>
          <w:lang w:eastAsia="zh-TW"/>
        </w:rPr>
      </w:pPr>
      <w:r w:rsidRPr="00970F80">
        <w:rPr>
          <w:rFonts w:ascii="新細明體" w:eastAsia="新細明體" w:hAnsi="新細明體" w:cs="新細明體" w:hint="eastAsia"/>
          <w:lang w:eastAsia="zh-TW"/>
        </w:rPr>
        <w:t>語言教學亦是基金會著重的獎助項目之</w:t>
      </w:r>
      <w:proofErr w:type="gramStart"/>
      <w:r w:rsidRPr="00970F80">
        <w:rPr>
          <w:rFonts w:ascii="新細明體" w:eastAsia="新細明體" w:hAnsi="新細明體" w:cs="新細明體" w:hint="eastAsia"/>
          <w:lang w:eastAsia="zh-TW"/>
        </w:rPr>
        <w:t>一</w:t>
      </w:r>
      <w:proofErr w:type="gramEnd"/>
      <w:r w:rsidRPr="00970F80">
        <w:rPr>
          <w:rFonts w:ascii="新細明體" w:eastAsia="新細明體" w:hAnsi="新細明體" w:cs="新細明體" w:hint="eastAsia"/>
          <w:lang w:eastAsia="zh-TW"/>
        </w:rPr>
        <w:t>：</w:t>
      </w:r>
    </w:p>
    <w:p w:rsidR="00184C87" w:rsidRPr="00FC7D26" w:rsidRDefault="00184C87" w:rsidP="00184C87">
      <w:pPr>
        <w:pStyle w:val="a9"/>
        <w:numPr>
          <w:ilvl w:val="0"/>
          <w:numId w:val="7"/>
        </w:numPr>
        <w:ind w:leftChars="0"/>
        <w:rPr>
          <w:rFonts w:ascii="新細明體" w:eastAsia="新細明體" w:hAnsi="新細明體" w:cs="新細明體"/>
          <w:lang w:eastAsia="zh-TW"/>
        </w:rPr>
      </w:pPr>
      <w:r w:rsidRPr="00FC7D26">
        <w:rPr>
          <w:rFonts w:ascii="新細明體" w:eastAsia="新細明體" w:hAnsi="新細明體" w:cs="新細明體" w:hint="eastAsia"/>
          <w:u w:val="single"/>
          <w:lang w:eastAsia="zh-TW"/>
        </w:rPr>
        <w:t>英語教師赴美進修暨協助華語教學獎助計畫</w:t>
      </w:r>
      <w:r w:rsidRPr="00FC7D26">
        <w:rPr>
          <w:rFonts w:ascii="新細明體" w:eastAsia="新細明體" w:hAnsi="新細明體" w:cs="新細明體" w:hint="eastAsia"/>
          <w:lang w:eastAsia="zh-TW"/>
        </w:rPr>
        <w:t>(FLTA)近年為一個新的項目。選送青年英語教師赴美修習一年，並同時擔任華語協同教學活動。獎助內容包含：學費、機票、食宿及生活津貼。</w:t>
      </w:r>
    </w:p>
    <w:p w:rsidR="00184C87" w:rsidRPr="00FC7D26" w:rsidRDefault="00184C87" w:rsidP="00184C87">
      <w:pPr>
        <w:pStyle w:val="a9"/>
        <w:numPr>
          <w:ilvl w:val="0"/>
          <w:numId w:val="7"/>
        </w:numPr>
        <w:ind w:leftChars="0"/>
        <w:rPr>
          <w:rFonts w:ascii="新細明體" w:eastAsia="新細明體" w:hAnsi="新細明體" w:cs="新細明體"/>
          <w:lang w:eastAsia="zh-TW"/>
        </w:rPr>
      </w:pPr>
      <w:r w:rsidRPr="00FC7D26">
        <w:rPr>
          <w:rFonts w:ascii="新細明體" w:eastAsia="新細明體" w:hAnsi="新細明體" w:cs="新細明體" w:hint="eastAsia"/>
          <w:u w:val="single"/>
          <w:lang w:eastAsia="zh-TW"/>
        </w:rPr>
        <w:t>優秀教師計畫</w:t>
      </w:r>
      <w:r w:rsidRPr="00FC7D26">
        <w:rPr>
          <w:rFonts w:ascii="新細明體" w:eastAsia="新細明體" w:hAnsi="新細明體" w:cs="新細明體" w:hint="eastAsia"/>
          <w:lang w:eastAsia="zh-TW"/>
        </w:rPr>
        <w:t>將贊助中小學資深教師至印地安那大學研修一學期、分享教學經驗，並完成一項專案。</w:t>
      </w:r>
      <w:r w:rsidRPr="00FC7D26">
        <w:rPr>
          <w:rFonts w:ascii="新細明體" w:eastAsia="新細明體" w:hAnsi="新細明體" w:cs="新細明體"/>
          <w:lang w:eastAsia="zh-TW"/>
        </w:rPr>
        <w:t xml:space="preserve"> </w:t>
      </w:r>
    </w:p>
    <w:p w:rsidR="00184C87" w:rsidRPr="00FC7D26" w:rsidRDefault="00184C87" w:rsidP="00184C87">
      <w:pPr>
        <w:pStyle w:val="a9"/>
        <w:ind w:leftChars="0"/>
        <w:rPr>
          <w:rFonts w:ascii="新細明體" w:eastAsia="新細明體" w:hAnsi="新細明體" w:cs="新細明體"/>
          <w:lang w:eastAsia="zh-TW"/>
        </w:rPr>
      </w:pPr>
    </w:p>
    <w:p w:rsidR="00184C87" w:rsidRPr="00FC7D26" w:rsidRDefault="00184C87" w:rsidP="00184C87">
      <w:pPr>
        <w:rPr>
          <w:rFonts w:ascii="新細明體" w:eastAsia="新細明體" w:hAnsi="新細明體" w:cs="新細明體"/>
          <w:lang w:eastAsia="zh-TW"/>
        </w:rPr>
      </w:pPr>
      <w:r w:rsidRPr="00FC7D26">
        <w:rPr>
          <w:rFonts w:ascii="新細明體" w:eastAsia="新細明體" w:hAnsi="新細明體" w:cs="新細明體" w:hint="eastAsia"/>
          <w:lang w:eastAsia="zh-TW"/>
        </w:rPr>
        <w:t>各類獎學金已開放線上申請，學生類獎項於8月1日截止，</w:t>
      </w:r>
      <w:r w:rsidR="00D21ADB" w:rsidRPr="00FC7D26">
        <w:rPr>
          <w:rFonts w:ascii="新細明體" w:eastAsia="新細明體" w:hAnsi="新細明體" w:cs="新細明體" w:hint="eastAsia"/>
          <w:lang w:eastAsia="zh-TW"/>
        </w:rPr>
        <w:t>英語教師赴美進修暨協助華語教學獎助計畫</w:t>
      </w:r>
      <w:r w:rsidRPr="00FC7D26">
        <w:rPr>
          <w:rFonts w:ascii="新細明體" w:eastAsia="新細明體" w:hAnsi="新細明體" w:cs="新細明體" w:hint="eastAsia"/>
          <w:lang w:eastAsia="zh-TW"/>
        </w:rPr>
        <w:t>教師類別於8月15日截止，學者類</w:t>
      </w:r>
      <w:r w:rsidR="00D21ADB" w:rsidRPr="00FC7D26">
        <w:rPr>
          <w:rFonts w:ascii="新細明體" w:eastAsia="新細明體" w:hAnsi="新細明體" w:cs="新細明體" w:hint="eastAsia"/>
          <w:lang w:eastAsia="zh-TW"/>
        </w:rPr>
        <w:t>及優秀教師計畫教</w:t>
      </w:r>
      <w:r w:rsidR="00D21ADB" w:rsidRPr="00FC7D26">
        <w:rPr>
          <w:rFonts w:ascii="新細明體" w:eastAsia="新細明體" w:hAnsi="新細明體" w:cs="新細明體" w:hint="eastAsia"/>
          <w:lang w:eastAsia="zh-TW"/>
        </w:rPr>
        <w:lastRenderedPageBreak/>
        <w:t>師</w:t>
      </w:r>
      <w:r w:rsidRPr="00FC7D26">
        <w:rPr>
          <w:rFonts w:ascii="新細明體" w:eastAsia="新細明體" w:hAnsi="新細明體" w:cs="新細明體" w:hint="eastAsia"/>
          <w:lang w:eastAsia="zh-TW"/>
        </w:rPr>
        <w:t>於10月31日截止。詳情請參考學術交流基金會網站：</w:t>
      </w:r>
      <w:hyperlink r:id="rId8" w:history="1">
        <w:r w:rsidRPr="00FC7D26">
          <w:rPr>
            <w:rStyle w:val="a6"/>
            <w:rFonts w:ascii="新細明體" w:eastAsia="新細明體" w:hAnsi="新細明體" w:cs="新細明體"/>
            <w:lang w:eastAsia="zh-TW"/>
          </w:rPr>
          <w:t>http://www.fulbright.org.tw/</w:t>
        </w:r>
      </w:hyperlink>
      <w:r w:rsidRPr="00FC7D26">
        <w:rPr>
          <w:rFonts w:ascii="新細明體" w:eastAsia="新細明體" w:hAnsi="新細明體" w:cs="新細明體" w:hint="eastAsia"/>
          <w:lang w:eastAsia="zh-TW"/>
        </w:rPr>
        <w:t xml:space="preserve"> 或致電林小姐：</w:t>
      </w:r>
      <w:r w:rsidRPr="00FC7D26">
        <w:rPr>
          <w:rFonts w:ascii="新細明體" w:eastAsia="新細明體" w:hAnsi="新細明體" w:cs="新細明體"/>
          <w:lang w:eastAsia="zh-TW"/>
        </w:rPr>
        <w:t xml:space="preserve">02-2388-2100 </w:t>
      </w:r>
      <w:r w:rsidRPr="00FC7D26">
        <w:rPr>
          <w:rFonts w:ascii="新細明體" w:eastAsia="新細明體" w:hAnsi="新細明體" w:cs="新細明體" w:hint="eastAsia"/>
          <w:lang w:eastAsia="zh-TW"/>
        </w:rPr>
        <w:t>分機</w:t>
      </w:r>
      <w:r w:rsidRPr="00FC7D26">
        <w:rPr>
          <w:rFonts w:ascii="新細明體" w:eastAsia="新細明體" w:hAnsi="新細明體" w:cs="新細明體"/>
          <w:lang w:eastAsia="zh-TW"/>
        </w:rPr>
        <w:t>112</w:t>
      </w:r>
    </w:p>
    <w:p w:rsidR="00184C87" w:rsidRPr="00FC7D26" w:rsidRDefault="00184C87" w:rsidP="00184C87">
      <w:pPr>
        <w:rPr>
          <w:rFonts w:ascii="新細明體" w:eastAsia="新細明體" w:hAnsi="新細明體" w:cs="新細明體"/>
          <w:lang w:eastAsia="zh-TW"/>
        </w:rPr>
      </w:pPr>
    </w:p>
    <w:p w:rsidR="00184C87" w:rsidRPr="00FC7D26" w:rsidRDefault="00184C87" w:rsidP="00184C87">
      <w:pPr>
        <w:rPr>
          <w:rFonts w:ascii="新細明體" w:eastAsia="新細明體" w:hAnsi="新細明體" w:cs="新細明體"/>
          <w:lang w:eastAsia="zh-TW"/>
        </w:rPr>
      </w:pPr>
    </w:p>
    <w:p w:rsidR="00184C87" w:rsidRPr="00FC7D26" w:rsidRDefault="00184C87" w:rsidP="00184C87">
      <w:pPr>
        <w:rPr>
          <w:rFonts w:ascii="新細明體" w:eastAsia="新細明體" w:hAnsi="新細明體" w:cs="新細明體"/>
          <w:b/>
          <w:lang w:eastAsia="zh-TW"/>
        </w:rPr>
      </w:pPr>
      <w:r w:rsidRPr="00FC7D26">
        <w:rPr>
          <w:rFonts w:ascii="新細明體" w:eastAsia="新細明體" w:hAnsi="新細明體" w:cs="新細明體" w:hint="eastAsia"/>
          <w:b/>
          <w:lang w:eastAsia="zh-TW"/>
        </w:rPr>
        <w:t>關於學術交流基金會 Foundation for Scholarly Exchange (Fulbright Taiwan)</w:t>
      </w:r>
    </w:p>
    <w:p w:rsidR="00184C87" w:rsidRPr="00FC7D26" w:rsidRDefault="00184C87" w:rsidP="00184C87">
      <w:pPr>
        <w:rPr>
          <w:rFonts w:ascii="新細明體" w:eastAsia="新細明體" w:hAnsi="新細明體" w:cs="新細明體"/>
          <w:lang w:eastAsia="zh-TW"/>
        </w:rPr>
      </w:pPr>
    </w:p>
    <w:p w:rsidR="00184C87" w:rsidRPr="00FC7D26" w:rsidRDefault="00184C87" w:rsidP="00184C87">
      <w:pPr>
        <w:rPr>
          <w:rFonts w:ascii="新細明體" w:eastAsia="新細明體" w:hAnsi="新細明體" w:cs="新細明體"/>
          <w:lang w:eastAsia="zh-TW"/>
        </w:rPr>
      </w:pPr>
      <w:r w:rsidRPr="00FC7D26">
        <w:rPr>
          <w:rFonts w:ascii="新細明體" w:eastAsia="新細明體" w:hAnsi="新細明體" w:cs="新細明體" w:hint="eastAsia"/>
          <w:lang w:eastAsia="zh-TW"/>
        </w:rPr>
        <w:t>學術交流基金會 (</w:t>
      </w:r>
      <w:r w:rsidRPr="00FC7D26">
        <w:rPr>
          <w:rFonts w:ascii="新細明體" w:eastAsia="新細明體" w:hAnsi="新細明體" w:cs="新細明體"/>
          <w:lang w:eastAsia="zh-TW"/>
        </w:rPr>
        <w:t>Fulbright Taiwan/FSE</w:t>
      </w:r>
      <w:r w:rsidRPr="00FC7D26">
        <w:rPr>
          <w:rFonts w:ascii="新細明體" w:eastAsia="新細明體" w:hAnsi="新細明體" w:cs="新細明體" w:hint="eastAsia"/>
          <w:lang w:eastAsia="zh-TW"/>
        </w:rPr>
        <w:t>) 係美國與世界</w:t>
      </w:r>
      <w:r w:rsidR="00EE47CD" w:rsidRPr="00FC7D26">
        <w:rPr>
          <w:rFonts w:ascii="新細明體" w:eastAsia="新細明體" w:hAnsi="新細明體" w:cs="新細明體" w:hint="eastAsia"/>
          <w:lang w:eastAsia="zh-TW"/>
        </w:rPr>
        <w:t>150</w:t>
      </w:r>
      <w:r w:rsidRPr="00FC7D26">
        <w:rPr>
          <w:rFonts w:ascii="新細明體" w:eastAsia="新細明體" w:hAnsi="新細明體" w:cs="新細明體" w:hint="eastAsia"/>
          <w:lang w:eastAsia="zh-TW"/>
        </w:rPr>
        <w:t>個國家或組織共同推動傅爾布萊特計畫 (Fulbright</w:t>
      </w:r>
      <w:r w:rsidRPr="00FC7D26">
        <w:rPr>
          <w:rFonts w:ascii="新細明體" w:eastAsia="新細明體" w:hAnsi="新細明體" w:cs="新細明體"/>
          <w:lang w:eastAsia="zh-TW"/>
        </w:rPr>
        <w:t xml:space="preserve"> Program</w:t>
      </w:r>
      <w:r w:rsidRPr="00FC7D26">
        <w:rPr>
          <w:rFonts w:ascii="新細明體" w:eastAsia="新細明體" w:hAnsi="新細明體" w:cs="新細明體" w:hint="eastAsia"/>
          <w:lang w:eastAsia="zh-TW"/>
        </w:rPr>
        <w:t>) 單位之一</w:t>
      </w:r>
      <w:r w:rsidR="00EE47CD" w:rsidRPr="00FC7D26">
        <w:rPr>
          <w:rFonts w:ascii="新細明體" w:eastAsia="新細明體" w:hAnsi="新細明體" w:cs="新細明體" w:hint="eastAsia"/>
          <w:lang w:eastAsia="zh-TW"/>
        </w:rPr>
        <w:t>，其中有50個單位是由雙邊政府共同成立的獨立運作基金會，學術交流基金會即是其一</w:t>
      </w:r>
      <w:r w:rsidRPr="00FC7D26">
        <w:rPr>
          <w:rFonts w:ascii="新細明體" w:eastAsia="新細明體" w:hAnsi="新細明體" w:cs="新細明體" w:hint="eastAsia"/>
          <w:lang w:eastAsia="zh-TW"/>
        </w:rPr>
        <w:t>。半世紀以來，學術交流基金會提供約1,</w:t>
      </w:r>
      <w:r w:rsidRPr="00FC7D26">
        <w:rPr>
          <w:rFonts w:ascii="新細明體" w:eastAsia="新細明體" w:hAnsi="新細明體" w:cs="新細明體"/>
          <w:lang w:eastAsia="zh-TW"/>
        </w:rPr>
        <w:t>3</w:t>
      </w:r>
      <w:r w:rsidRPr="00FC7D26">
        <w:rPr>
          <w:rFonts w:ascii="新細明體" w:eastAsia="新細明體" w:hAnsi="新細明體" w:cs="新細明體" w:hint="eastAsia"/>
          <w:lang w:eastAsia="zh-TW"/>
        </w:rPr>
        <w:t>00位美國學人及1,600位台灣的學人進行雙向交流。</w:t>
      </w:r>
    </w:p>
    <w:p w:rsidR="00184C87" w:rsidRPr="00FC7D26" w:rsidRDefault="00184C87" w:rsidP="00184C87">
      <w:pPr>
        <w:rPr>
          <w:rFonts w:ascii="新細明體" w:eastAsia="新細明體" w:hAnsi="新細明體" w:cs="新細明體"/>
          <w:lang w:eastAsia="zh-TW"/>
        </w:rPr>
      </w:pPr>
    </w:p>
    <w:p w:rsidR="00184C87" w:rsidRPr="00FC7D26" w:rsidRDefault="00184C87" w:rsidP="00184C87">
      <w:pPr>
        <w:rPr>
          <w:rFonts w:ascii="新細明體" w:eastAsia="新細明體" w:hAnsi="新細明體" w:cs="新細明體"/>
          <w:lang w:eastAsia="zh-TW"/>
        </w:rPr>
      </w:pPr>
      <w:r w:rsidRPr="00FC7D26">
        <w:rPr>
          <w:rFonts w:ascii="新細明體" w:eastAsia="新細明體" w:hAnsi="新細明體" w:cs="新細明體" w:hint="eastAsia"/>
          <w:lang w:eastAsia="zh-TW"/>
        </w:rPr>
        <w:t>台灣傅爾布萊特交換計畫分別由美國政府透過美國在台協會(AIT)、美國國務院(DOS)，及台灣政府透過外交部(MOFA)、教育部(MOE)</w:t>
      </w:r>
      <w:r w:rsidR="00EE47CD" w:rsidRPr="00FC7D26">
        <w:rPr>
          <w:rFonts w:ascii="新細明體" w:eastAsia="新細明體" w:hAnsi="新細明體" w:cs="新細明體" w:hint="eastAsia"/>
          <w:lang w:eastAsia="zh-TW"/>
        </w:rPr>
        <w:t>、</w:t>
      </w:r>
      <w:r w:rsidRPr="00FC7D26">
        <w:rPr>
          <w:rFonts w:ascii="新細明體" w:eastAsia="新細明體" w:hAnsi="新細明體" w:cs="新細明體" w:hint="eastAsia"/>
          <w:lang w:eastAsia="zh-TW"/>
        </w:rPr>
        <w:t>宜蘭、高雄、金門、台中、台北及台東縣市政府共同支持。本計畫於1947年成立於南京，歷經數年動盪，於1957年重新於台灣啟動，歷經1964年正規化並於 1979年更名，學術交流基金會持續於台灣推行各項傅爾布萊特學人交換計畫。基金會在董事會的監督下，旨在透過國際交流來推廣「給世界多一點點知識，少一點點衝突」這項願景。董事會由5位美國董事及5位臺灣董事，共同監管此一合法之國際型非營利組織。</w:t>
      </w:r>
    </w:p>
    <w:p w:rsidR="00184C87" w:rsidRPr="00FC7D26" w:rsidRDefault="00184C87" w:rsidP="00184C87">
      <w:pPr>
        <w:rPr>
          <w:rFonts w:ascii="新細明體" w:eastAsia="新細明體" w:hAnsi="新細明體" w:cs="新細明體"/>
          <w:lang w:eastAsia="zh-TW"/>
        </w:rPr>
      </w:pPr>
    </w:p>
    <w:p w:rsidR="00184C87" w:rsidRPr="00FC7D26" w:rsidRDefault="00184C87" w:rsidP="00184C87">
      <w:pPr>
        <w:rPr>
          <w:rFonts w:ascii="新細明體" w:eastAsia="新細明體" w:hAnsi="新細明體" w:cs="新細明體"/>
          <w:lang w:eastAsia="zh-TW"/>
        </w:rPr>
      </w:pPr>
    </w:p>
    <w:p w:rsidR="00184C87" w:rsidRPr="00FC7D26" w:rsidRDefault="00184C87" w:rsidP="00184C87">
      <w:pPr>
        <w:rPr>
          <w:rFonts w:ascii="新細明體" w:eastAsia="新細明體" w:hAnsi="新細明體" w:cs="新細明體"/>
          <w:b/>
          <w:lang w:eastAsia="zh-TW"/>
        </w:rPr>
      </w:pPr>
      <w:r w:rsidRPr="00FC7D26">
        <w:rPr>
          <w:rFonts w:ascii="新細明體" w:eastAsia="新細明體" w:hAnsi="新細明體" w:cs="新細明體" w:hint="eastAsia"/>
          <w:b/>
          <w:lang w:eastAsia="zh-TW"/>
        </w:rPr>
        <w:t xml:space="preserve">關於傅爾布萊特計畫 </w:t>
      </w:r>
      <w:r w:rsidRPr="00FC7D26">
        <w:rPr>
          <w:rFonts w:ascii="新細明體" w:eastAsia="新細明體" w:hAnsi="新細明體" w:cs="新細明體"/>
          <w:b/>
          <w:lang w:eastAsia="zh-TW"/>
        </w:rPr>
        <w:t>(the Fulbright Program)</w:t>
      </w:r>
    </w:p>
    <w:p w:rsidR="00184C87" w:rsidRPr="00FC7D26" w:rsidRDefault="00184C87" w:rsidP="00184C87">
      <w:pPr>
        <w:rPr>
          <w:rFonts w:ascii="新細明體" w:eastAsia="新細明體" w:hAnsi="新細明體" w:cs="新細明體"/>
          <w:lang w:eastAsia="zh-TW"/>
        </w:rPr>
      </w:pPr>
      <w:r w:rsidRPr="00FC7D26">
        <w:rPr>
          <w:rFonts w:ascii="新細明體" w:eastAsia="新細明體" w:hAnsi="新細明體" w:cs="新細明體" w:hint="eastAsia"/>
          <w:lang w:eastAsia="zh-TW"/>
        </w:rPr>
        <w:t>傅爾布萊特計畫是美國政府支持下最頂尖的國際教育交換計畫，旨在促進各國與美國人民的相互瞭解。該計畫每年篩選約8</w:t>
      </w:r>
      <w:r w:rsidRPr="00FC7D26">
        <w:rPr>
          <w:rFonts w:ascii="新細明體" w:eastAsia="新細明體" w:hAnsi="新細明體" w:cs="新細明體"/>
          <w:lang w:eastAsia="zh-TW"/>
        </w:rPr>
        <w:t>,</w:t>
      </w:r>
      <w:r w:rsidRPr="00FC7D26">
        <w:rPr>
          <w:rFonts w:ascii="新細明體" w:eastAsia="新細明體" w:hAnsi="新細明體" w:cs="新細明體" w:hint="eastAsia"/>
          <w:lang w:eastAsia="zh-TW"/>
        </w:rPr>
        <w:t>000個卓越且具有競爭力的學生、學者、老師、專業人員或團體提供獎助。這項獎助適用於美國公民申請出國交流，或非美國公民申請赴美交流。</w:t>
      </w:r>
    </w:p>
    <w:p w:rsidR="00120A20" w:rsidRPr="00FC7D26" w:rsidRDefault="00120A20" w:rsidP="00120A20">
      <w:pPr>
        <w:rPr>
          <w:rFonts w:ascii="新細明體" w:eastAsia="新細明體" w:hAnsi="新細明體" w:cs="新細明體"/>
          <w:lang w:eastAsia="zh-TW"/>
        </w:rPr>
      </w:pPr>
    </w:p>
    <w:p w:rsidR="00C16E95" w:rsidRPr="00FC7D26" w:rsidRDefault="00C16E95">
      <w:pPr>
        <w:rPr>
          <w:rFonts w:ascii="新細明體" w:eastAsia="新細明體" w:hAnsi="新細明體" w:cs="新細明體"/>
          <w:lang w:eastAsia="zh-TW"/>
        </w:rPr>
      </w:pPr>
      <w:r w:rsidRPr="00FC7D26">
        <w:rPr>
          <w:rFonts w:ascii="新細明體" w:eastAsia="新細明體" w:hAnsi="新細明體" w:cs="新細明體"/>
          <w:lang w:eastAsia="zh-TW"/>
        </w:rPr>
        <w:br w:type="page"/>
      </w:r>
    </w:p>
    <w:p w:rsidR="00120A20" w:rsidRPr="00FC7D26" w:rsidRDefault="00120A20" w:rsidP="00120A20">
      <w:pPr>
        <w:rPr>
          <w:rFonts w:ascii="新細明體" w:eastAsia="新細明體" w:hAnsi="新細明體" w:cs="新細明體"/>
          <w:lang w:eastAsia="zh-TW"/>
        </w:rPr>
      </w:pPr>
    </w:p>
    <w:p w:rsidR="00120A20" w:rsidRPr="00FC7D26" w:rsidRDefault="00120A20" w:rsidP="00120A20">
      <w:pPr>
        <w:rPr>
          <w:rFonts w:ascii="新細明體" w:eastAsia="新細明體" w:hAnsi="新細明體" w:cs="新細明體"/>
          <w:lang w:eastAsia="zh-TW"/>
        </w:rPr>
      </w:pPr>
    </w:p>
    <w:p w:rsidR="00120A20" w:rsidRPr="00FC7D26" w:rsidRDefault="00120A20" w:rsidP="00120A20">
      <w:pPr>
        <w:rPr>
          <w:rFonts w:ascii="Arial" w:hAnsi="Arial" w:cs="Arial"/>
          <w:b/>
          <w:sz w:val="28"/>
        </w:rPr>
      </w:pPr>
      <w:r w:rsidRPr="00FC7D26">
        <w:rPr>
          <w:rFonts w:ascii="Arial" w:hAnsi="Arial" w:cs="Arial"/>
          <w:b/>
          <w:sz w:val="28"/>
        </w:rPr>
        <w:t>FOR IMMEDIATE RELEASE</w:t>
      </w:r>
    </w:p>
    <w:p w:rsidR="00120A20" w:rsidRPr="00FC7D26" w:rsidRDefault="00120A20" w:rsidP="00120A20">
      <w:pPr>
        <w:rPr>
          <w:rFonts w:ascii="Arial" w:hAnsi="Arial" w:cs="Arial"/>
        </w:rPr>
      </w:pPr>
      <w:r w:rsidRPr="00FC7D26">
        <w:rPr>
          <w:rFonts w:ascii="Arial" w:hAnsi="Arial" w:cs="Arial"/>
        </w:rPr>
        <w:t>June 2014</w:t>
      </w:r>
    </w:p>
    <w:p w:rsidR="00120A20" w:rsidRPr="00FC7D26" w:rsidRDefault="00120A20" w:rsidP="00120A20">
      <w:pPr>
        <w:rPr>
          <w:rFonts w:ascii="Arial" w:hAnsi="Arial" w:cs="Arial"/>
        </w:rPr>
      </w:pPr>
    </w:p>
    <w:p w:rsidR="00120A20" w:rsidRPr="00FC7D26" w:rsidRDefault="00120A20" w:rsidP="00120A20">
      <w:pPr>
        <w:rPr>
          <w:rFonts w:ascii="Arial" w:hAnsi="Arial" w:cs="Arial"/>
          <w:sz w:val="22"/>
          <w:szCs w:val="22"/>
        </w:rPr>
      </w:pPr>
      <w:r w:rsidRPr="00FC7D26">
        <w:rPr>
          <w:rFonts w:ascii="Arial" w:hAnsi="Arial" w:cs="Arial"/>
          <w:sz w:val="22"/>
          <w:szCs w:val="22"/>
        </w:rPr>
        <w:t>Media Contact: Boyun Chiou, Marketing and Media Coordinator, Fulbright Taiwan</w:t>
      </w:r>
    </w:p>
    <w:p w:rsidR="00120A20" w:rsidRPr="00FC7D26" w:rsidRDefault="00120A20" w:rsidP="00120A20">
      <w:pPr>
        <w:rPr>
          <w:rFonts w:ascii="Arial" w:hAnsi="Arial" w:cs="Arial"/>
        </w:rPr>
      </w:pPr>
    </w:p>
    <w:p w:rsidR="00120A20" w:rsidRPr="00FC7D26" w:rsidRDefault="005A02C5" w:rsidP="00120A20">
      <w:pPr>
        <w:spacing w:line="276" w:lineRule="auto"/>
        <w:rPr>
          <w:rFonts w:ascii="Arial" w:hAnsi="Arial" w:cs="Arial"/>
          <w:b/>
          <w:sz w:val="28"/>
        </w:rPr>
      </w:pPr>
      <w:r w:rsidRPr="00FC7D26">
        <w:rPr>
          <w:rFonts w:ascii="Arial" w:hAnsi="Arial" w:cs="Arial"/>
          <w:b/>
          <w:sz w:val="28"/>
        </w:rPr>
        <w:t xml:space="preserve">For Taiwanese: </w:t>
      </w:r>
      <w:r w:rsidR="00AE0585" w:rsidRPr="00FC7D26">
        <w:rPr>
          <w:rFonts w:ascii="Arial" w:hAnsi="Arial" w:cs="Arial"/>
          <w:b/>
          <w:sz w:val="28"/>
        </w:rPr>
        <w:t xml:space="preserve">Fulbright Program Increases </w:t>
      </w:r>
      <w:r w:rsidR="00181CB2" w:rsidRPr="00FC7D26">
        <w:rPr>
          <w:rFonts w:ascii="Arial" w:hAnsi="Arial" w:cs="Arial"/>
          <w:b/>
          <w:sz w:val="28"/>
        </w:rPr>
        <w:t xml:space="preserve">Stipends, </w:t>
      </w:r>
      <w:proofErr w:type="gramStart"/>
      <w:r w:rsidR="00181CB2" w:rsidRPr="00FC7D26">
        <w:rPr>
          <w:rFonts w:ascii="Arial" w:hAnsi="Arial" w:cs="Arial"/>
          <w:b/>
          <w:sz w:val="28"/>
        </w:rPr>
        <w:t>A</w:t>
      </w:r>
      <w:r w:rsidRPr="00FC7D26">
        <w:rPr>
          <w:rFonts w:ascii="Arial" w:hAnsi="Arial" w:cs="Arial"/>
          <w:b/>
          <w:sz w:val="28"/>
        </w:rPr>
        <w:t>dds</w:t>
      </w:r>
      <w:proofErr w:type="gramEnd"/>
      <w:r w:rsidRPr="00FC7D26">
        <w:rPr>
          <w:rFonts w:ascii="Arial" w:hAnsi="Arial" w:cs="Arial"/>
          <w:b/>
          <w:sz w:val="28"/>
        </w:rPr>
        <w:t xml:space="preserve"> F</w:t>
      </w:r>
      <w:r w:rsidR="00181CB2" w:rsidRPr="00FC7D26">
        <w:rPr>
          <w:rFonts w:ascii="Arial" w:hAnsi="Arial" w:cs="Arial"/>
          <w:b/>
          <w:sz w:val="28"/>
        </w:rPr>
        <w:t>ellowships</w:t>
      </w:r>
      <w:r w:rsidR="00120A20" w:rsidRPr="00FC7D26">
        <w:rPr>
          <w:rFonts w:ascii="Arial" w:hAnsi="Arial" w:cs="Arial"/>
          <w:b/>
          <w:sz w:val="28"/>
        </w:rPr>
        <w:t xml:space="preserve"> </w:t>
      </w:r>
    </w:p>
    <w:p w:rsidR="00120A20" w:rsidRPr="00FC7D26" w:rsidRDefault="00120A20" w:rsidP="00120A20">
      <w:pPr>
        <w:rPr>
          <w:rFonts w:ascii="Arial" w:hAnsi="Arial" w:cs="Arial"/>
          <w:i/>
        </w:rPr>
      </w:pPr>
      <w:r w:rsidRPr="00FC7D26">
        <w:rPr>
          <w:rFonts w:ascii="Arial" w:hAnsi="Arial" w:cs="Arial" w:hint="eastAsia"/>
          <w:i/>
        </w:rPr>
        <w:t xml:space="preserve">New </w:t>
      </w:r>
      <w:r w:rsidRPr="00FC7D26">
        <w:rPr>
          <w:rFonts w:ascii="Arial" w:hAnsi="Arial" w:cs="Arial"/>
          <w:i/>
        </w:rPr>
        <w:t>milestone</w:t>
      </w:r>
      <w:r w:rsidR="00181CB2" w:rsidRPr="00FC7D26">
        <w:rPr>
          <w:rFonts w:ascii="Arial" w:hAnsi="Arial" w:cs="Arial"/>
          <w:i/>
        </w:rPr>
        <w:t>s</w:t>
      </w:r>
      <w:r w:rsidRPr="00FC7D26">
        <w:rPr>
          <w:rFonts w:ascii="Arial" w:hAnsi="Arial" w:cs="Arial"/>
          <w:i/>
        </w:rPr>
        <w:t xml:space="preserve"> of scholarly exchange between Taiwan and </w:t>
      </w:r>
      <w:r w:rsidR="00D52E45" w:rsidRPr="00FC7D26">
        <w:rPr>
          <w:rFonts w:ascii="Arial" w:hAnsi="Arial" w:cs="Arial"/>
          <w:i/>
        </w:rPr>
        <w:t xml:space="preserve">the </w:t>
      </w:r>
      <w:r w:rsidRPr="00FC7D26">
        <w:rPr>
          <w:rFonts w:ascii="Arial" w:hAnsi="Arial" w:cs="Arial"/>
          <w:i/>
        </w:rPr>
        <w:t xml:space="preserve">United States </w:t>
      </w:r>
    </w:p>
    <w:p w:rsidR="00120A20" w:rsidRPr="00FC7D26" w:rsidRDefault="00120A20" w:rsidP="00120A20">
      <w:pPr>
        <w:rPr>
          <w:rFonts w:ascii="Arial" w:hAnsi="Arial" w:cs="Arial"/>
        </w:rPr>
      </w:pPr>
    </w:p>
    <w:p w:rsidR="00181CB2" w:rsidRPr="00FC7D26" w:rsidRDefault="00120A20" w:rsidP="00120A20">
      <w:pPr>
        <w:spacing w:line="260" w:lineRule="exact"/>
        <w:rPr>
          <w:rFonts w:ascii="Arial" w:hAnsi="Arial" w:cs="Arial"/>
          <w:sz w:val="22"/>
        </w:rPr>
      </w:pPr>
      <w:r w:rsidRPr="00FC7D26">
        <w:rPr>
          <w:rFonts w:ascii="Arial" w:hAnsi="Arial" w:cs="Arial"/>
          <w:b/>
          <w:sz w:val="22"/>
        </w:rPr>
        <w:t>Taipei, Taiwan</w:t>
      </w:r>
      <w:r w:rsidRPr="00FC7D26">
        <w:rPr>
          <w:rFonts w:ascii="Arial" w:hAnsi="Arial" w:cs="Arial"/>
          <w:sz w:val="22"/>
        </w:rPr>
        <w:t xml:space="preserve">. </w:t>
      </w:r>
      <w:r w:rsidR="00181CB2" w:rsidRPr="00FC7D26">
        <w:rPr>
          <w:rFonts w:ascii="Arial" w:hAnsi="Arial" w:cs="Arial"/>
          <w:sz w:val="22"/>
        </w:rPr>
        <w:t xml:space="preserve">To keep Fulbright relevant in an era of increasing costs, the Fulbright Board significantly </w:t>
      </w:r>
      <w:r w:rsidR="00181CB2" w:rsidRPr="00FC7D26">
        <w:rPr>
          <w:rFonts w:ascii="Arial" w:hAnsi="Arial" w:cs="Arial"/>
          <w:sz w:val="22"/>
          <w:u w:val="single"/>
        </w:rPr>
        <w:t xml:space="preserve">increased the stipends </w:t>
      </w:r>
      <w:r w:rsidR="00181CB2" w:rsidRPr="00FC7D26">
        <w:rPr>
          <w:rFonts w:ascii="Arial" w:hAnsi="Arial" w:cs="Arial"/>
          <w:sz w:val="22"/>
        </w:rPr>
        <w:t>available for Ph.D. students</w:t>
      </w:r>
      <w:r w:rsidR="00630F6C">
        <w:rPr>
          <w:rFonts w:ascii="Arial" w:hAnsi="Arial" w:cs="Arial"/>
          <w:sz w:val="22"/>
        </w:rPr>
        <w:t xml:space="preserve"> and scholars interested in </w:t>
      </w:r>
      <w:r w:rsidR="00181CB2" w:rsidRPr="00FC7D26">
        <w:rPr>
          <w:rFonts w:ascii="Arial" w:hAnsi="Arial" w:cs="Arial"/>
          <w:sz w:val="22"/>
        </w:rPr>
        <w:t>studying and researching in the U.S.</w:t>
      </w:r>
    </w:p>
    <w:p w:rsidR="00181CB2" w:rsidRPr="00FC7D26" w:rsidRDefault="00181CB2" w:rsidP="00181CB2">
      <w:pPr>
        <w:pStyle w:val="a9"/>
        <w:numPr>
          <w:ilvl w:val="0"/>
          <w:numId w:val="1"/>
        </w:numPr>
        <w:spacing w:line="260" w:lineRule="exact"/>
        <w:ind w:leftChars="0"/>
        <w:rPr>
          <w:rFonts w:ascii="Arial" w:hAnsi="Arial" w:cs="Arial"/>
          <w:sz w:val="22"/>
        </w:rPr>
      </w:pPr>
      <w:r w:rsidRPr="00FC7D26">
        <w:rPr>
          <w:rFonts w:ascii="Arial" w:hAnsi="Arial" w:cs="Arial"/>
          <w:sz w:val="22"/>
        </w:rPr>
        <w:t>For students, one full fellowship of up to US $50,000 and up to 12 partial scholarships of US $15,000 are now available.</w:t>
      </w:r>
    </w:p>
    <w:p w:rsidR="00181CB2" w:rsidRPr="00FC7D26" w:rsidRDefault="00181CB2" w:rsidP="00181CB2">
      <w:pPr>
        <w:pStyle w:val="a9"/>
        <w:numPr>
          <w:ilvl w:val="0"/>
          <w:numId w:val="1"/>
        </w:numPr>
        <w:spacing w:line="260" w:lineRule="exact"/>
        <w:ind w:leftChars="0"/>
        <w:rPr>
          <w:rFonts w:ascii="Arial" w:hAnsi="Arial" w:cs="Arial"/>
          <w:sz w:val="22"/>
        </w:rPr>
      </w:pPr>
      <w:r w:rsidRPr="00FC7D26">
        <w:rPr>
          <w:rFonts w:ascii="Arial" w:hAnsi="Arial" w:cs="Arial"/>
          <w:sz w:val="22"/>
        </w:rPr>
        <w:t>For scholars, one full fellowship of up to $ 40,000 and up to 25 partial fellowship</w:t>
      </w:r>
      <w:r w:rsidR="00BF1798">
        <w:rPr>
          <w:rFonts w:ascii="Arial" w:hAnsi="Arial" w:cs="Arial"/>
          <w:sz w:val="22"/>
        </w:rPr>
        <w:t>s</w:t>
      </w:r>
      <w:r w:rsidRPr="00FC7D26">
        <w:rPr>
          <w:rFonts w:ascii="Arial" w:hAnsi="Arial" w:cs="Arial"/>
          <w:sz w:val="22"/>
        </w:rPr>
        <w:t xml:space="preserve"> of up to US $15,000 are now available.</w:t>
      </w:r>
    </w:p>
    <w:p w:rsidR="00181CB2" w:rsidRPr="00FC7D26" w:rsidRDefault="00181CB2" w:rsidP="00181CB2">
      <w:pPr>
        <w:spacing w:line="260" w:lineRule="exact"/>
        <w:rPr>
          <w:rFonts w:ascii="Arial" w:hAnsi="Arial" w:cs="Arial"/>
          <w:sz w:val="22"/>
        </w:rPr>
      </w:pPr>
    </w:p>
    <w:p w:rsidR="000A2920" w:rsidRPr="00FC7D26" w:rsidRDefault="000A2920" w:rsidP="00181CB2">
      <w:pPr>
        <w:spacing w:line="260" w:lineRule="exact"/>
        <w:rPr>
          <w:rFonts w:ascii="Arial" w:hAnsi="Arial" w:cs="Arial"/>
          <w:sz w:val="22"/>
        </w:rPr>
      </w:pPr>
      <w:r w:rsidRPr="00FC7D26">
        <w:rPr>
          <w:rFonts w:ascii="Arial" w:hAnsi="Arial" w:cs="Arial"/>
          <w:sz w:val="22"/>
        </w:rPr>
        <w:t>Several new distinctive fellowship opportunities have also been created:</w:t>
      </w:r>
    </w:p>
    <w:p w:rsidR="000A2920" w:rsidRPr="00FC7D26" w:rsidRDefault="00120A20" w:rsidP="000A2920">
      <w:pPr>
        <w:pStyle w:val="a9"/>
        <w:numPr>
          <w:ilvl w:val="0"/>
          <w:numId w:val="2"/>
        </w:numPr>
        <w:spacing w:line="260" w:lineRule="exact"/>
        <w:ind w:leftChars="0"/>
        <w:rPr>
          <w:rFonts w:ascii="Arial" w:hAnsi="Arial" w:cs="Arial"/>
          <w:sz w:val="22"/>
        </w:rPr>
      </w:pPr>
      <w:r w:rsidRPr="00FC7D26">
        <w:rPr>
          <w:rFonts w:ascii="Arial" w:hAnsi="Arial" w:cs="Arial"/>
          <w:sz w:val="22"/>
          <w:u w:val="single"/>
        </w:rPr>
        <w:t>Early Intervention</w:t>
      </w:r>
      <w:r w:rsidRPr="00FC7D26">
        <w:rPr>
          <w:rFonts w:ascii="Arial" w:hAnsi="Arial" w:cs="Arial"/>
          <w:sz w:val="22"/>
        </w:rPr>
        <w:t xml:space="preserve"> and </w:t>
      </w:r>
      <w:r w:rsidRPr="00FC7D26">
        <w:rPr>
          <w:rFonts w:ascii="Arial" w:hAnsi="Arial" w:cs="Arial"/>
          <w:sz w:val="22"/>
          <w:u w:val="single"/>
        </w:rPr>
        <w:t>Geriatric Health Promotion</w:t>
      </w:r>
      <w:r w:rsidRPr="00FC7D26">
        <w:rPr>
          <w:rFonts w:ascii="Arial" w:hAnsi="Arial" w:cs="Arial"/>
          <w:sz w:val="22"/>
        </w:rPr>
        <w:t xml:space="preserve"> </w:t>
      </w:r>
      <w:r w:rsidR="000A2920" w:rsidRPr="00FC7D26">
        <w:rPr>
          <w:rFonts w:ascii="Arial" w:hAnsi="Arial" w:cs="Arial"/>
          <w:sz w:val="22"/>
        </w:rPr>
        <w:t>are</w:t>
      </w:r>
      <w:r w:rsidRPr="00FC7D26">
        <w:rPr>
          <w:rFonts w:ascii="Arial" w:hAnsi="Arial" w:cs="Arial"/>
          <w:sz w:val="22"/>
        </w:rPr>
        <w:t xml:space="preserve"> vital trend</w:t>
      </w:r>
      <w:r w:rsidR="000A2920" w:rsidRPr="00FC7D26">
        <w:rPr>
          <w:rFonts w:ascii="Arial" w:hAnsi="Arial" w:cs="Arial"/>
          <w:sz w:val="22"/>
        </w:rPr>
        <w:t>s</w:t>
      </w:r>
      <w:r w:rsidRPr="00FC7D26">
        <w:rPr>
          <w:rFonts w:ascii="Arial" w:hAnsi="Arial" w:cs="Arial"/>
          <w:sz w:val="22"/>
        </w:rPr>
        <w:t xml:space="preserve"> of social welfare in Taiwan. </w:t>
      </w:r>
      <w:r w:rsidR="000A2920" w:rsidRPr="00FC7D26">
        <w:rPr>
          <w:rFonts w:ascii="Arial" w:hAnsi="Arial" w:cs="Arial"/>
          <w:sz w:val="22"/>
        </w:rPr>
        <w:t>T</w:t>
      </w:r>
      <w:r w:rsidR="00213F95" w:rsidRPr="00FC7D26">
        <w:rPr>
          <w:rFonts w:ascii="Arial" w:hAnsi="Arial" w:cs="Arial"/>
          <w:sz w:val="22"/>
        </w:rPr>
        <w:t xml:space="preserve">o </w:t>
      </w:r>
      <w:r w:rsidR="000A2920" w:rsidRPr="00FC7D26">
        <w:rPr>
          <w:rFonts w:ascii="Arial" w:hAnsi="Arial" w:cs="Arial"/>
          <w:sz w:val="22"/>
        </w:rPr>
        <w:t xml:space="preserve">build knowledge </w:t>
      </w:r>
      <w:r w:rsidR="00213F95" w:rsidRPr="00FC7D26">
        <w:rPr>
          <w:rFonts w:ascii="Arial" w:hAnsi="Arial" w:cs="Arial"/>
          <w:sz w:val="22"/>
        </w:rPr>
        <w:t xml:space="preserve">and </w:t>
      </w:r>
      <w:r w:rsidR="000A2920" w:rsidRPr="00FC7D26">
        <w:rPr>
          <w:rFonts w:ascii="Arial" w:hAnsi="Arial" w:cs="Arial"/>
          <w:sz w:val="22"/>
        </w:rPr>
        <w:t xml:space="preserve">promote </w:t>
      </w:r>
      <w:r w:rsidR="00213F95" w:rsidRPr="00FC7D26">
        <w:rPr>
          <w:rFonts w:ascii="Arial" w:hAnsi="Arial" w:cs="Arial"/>
          <w:sz w:val="22"/>
        </w:rPr>
        <w:t>academic exchange in these fields, the Foundation for Scholarly Exchange</w:t>
      </w:r>
      <w:r w:rsidR="0055670F" w:rsidRPr="00FC7D26">
        <w:rPr>
          <w:rFonts w:ascii="Arial" w:hAnsi="Arial" w:cs="Arial"/>
          <w:sz w:val="22"/>
        </w:rPr>
        <w:t xml:space="preserve"> (FSE)</w:t>
      </w:r>
      <w:r w:rsidR="00213F95" w:rsidRPr="00FC7D26">
        <w:rPr>
          <w:rFonts w:ascii="Arial" w:hAnsi="Arial" w:cs="Arial"/>
          <w:sz w:val="22"/>
        </w:rPr>
        <w:t xml:space="preserve"> </w:t>
      </w:r>
      <w:r w:rsidR="000A2920" w:rsidRPr="00FC7D26">
        <w:rPr>
          <w:rFonts w:ascii="Arial" w:hAnsi="Arial" w:cs="Arial"/>
          <w:sz w:val="22"/>
        </w:rPr>
        <w:t>is cooperating</w:t>
      </w:r>
      <w:r w:rsidR="00213F95" w:rsidRPr="00FC7D26">
        <w:rPr>
          <w:rFonts w:ascii="Arial" w:hAnsi="Arial" w:cs="Arial"/>
          <w:sz w:val="22"/>
        </w:rPr>
        <w:t xml:space="preserve"> with</w:t>
      </w:r>
      <w:r w:rsidR="00630F6C">
        <w:rPr>
          <w:rFonts w:ascii="Arial" w:hAnsi="Arial" w:cs="Arial"/>
          <w:sz w:val="22"/>
        </w:rPr>
        <w:t xml:space="preserve"> the Formosa Plastic Group, which has</w:t>
      </w:r>
      <w:r w:rsidR="00213F95" w:rsidRPr="00FC7D26">
        <w:rPr>
          <w:rFonts w:ascii="Arial" w:hAnsi="Arial" w:cs="Arial"/>
          <w:sz w:val="22"/>
        </w:rPr>
        <w:t xml:space="preserve"> been working in these fields for years</w:t>
      </w:r>
      <w:r w:rsidR="000A2920" w:rsidRPr="00FC7D26">
        <w:rPr>
          <w:rFonts w:ascii="Arial" w:hAnsi="Arial" w:cs="Arial"/>
          <w:sz w:val="22"/>
        </w:rPr>
        <w:t>, to launch the</w:t>
      </w:r>
      <w:r w:rsidR="00213F95" w:rsidRPr="00FC7D26">
        <w:rPr>
          <w:rFonts w:ascii="Arial" w:hAnsi="Arial" w:cs="Arial"/>
          <w:sz w:val="22"/>
        </w:rPr>
        <w:t xml:space="preserve"> “Fulbright-Formosa Plastics Group Scholarship.” </w:t>
      </w:r>
    </w:p>
    <w:p w:rsidR="000A2920" w:rsidRPr="00FC7D26" w:rsidRDefault="000A2920" w:rsidP="000A2920">
      <w:pPr>
        <w:pStyle w:val="a9"/>
        <w:numPr>
          <w:ilvl w:val="1"/>
          <w:numId w:val="2"/>
        </w:numPr>
        <w:spacing w:line="260" w:lineRule="exact"/>
        <w:ind w:leftChars="0"/>
        <w:rPr>
          <w:rFonts w:ascii="Arial" w:hAnsi="Arial" w:cs="Arial"/>
          <w:sz w:val="22"/>
        </w:rPr>
      </w:pPr>
      <w:r w:rsidRPr="00FC7D26">
        <w:rPr>
          <w:rFonts w:ascii="Arial" w:hAnsi="Arial" w:cs="Arial"/>
          <w:sz w:val="22"/>
          <w:u w:val="single"/>
        </w:rPr>
        <w:t>Scholars</w:t>
      </w:r>
      <w:r w:rsidRPr="00FC7D26">
        <w:rPr>
          <w:rFonts w:ascii="Arial" w:hAnsi="Arial" w:cs="Arial"/>
          <w:sz w:val="22"/>
        </w:rPr>
        <w:t xml:space="preserve"> are invited to apply</w:t>
      </w:r>
    </w:p>
    <w:p w:rsidR="000A2920" w:rsidRPr="00FC7D26" w:rsidRDefault="000A2920" w:rsidP="000A2920">
      <w:pPr>
        <w:pStyle w:val="a9"/>
        <w:numPr>
          <w:ilvl w:val="1"/>
          <w:numId w:val="2"/>
        </w:numPr>
        <w:spacing w:line="260" w:lineRule="exact"/>
        <w:ind w:leftChars="0"/>
        <w:rPr>
          <w:rFonts w:ascii="Arial" w:hAnsi="Arial" w:cs="Arial"/>
          <w:sz w:val="22"/>
        </w:rPr>
      </w:pPr>
      <w:r w:rsidRPr="00FC7D26">
        <w:rPr>
          <w:rFonts w:ascii="Arial" w:hAnsi="Arial" w:cs="Arial"/>
          <w:sz w:val="22"/>
          <w:u w:val="single"/>
        </w:rPr>
        <w:t>Non-academic professionals</w:t>
      </w:r>
      <w:r w:rsidRPr="00FC7D26">
        <w:rPr>
          <w:rFonts w:ascii="Arial" w:hAnsi="Arial" w:cs="Arial"/>
          <w:sz w:val="22"/>
        </w:rPr>
        <w:t xml:space="preserve"> in these areas are also encouraged to apply</w:t>
      </w:r>
    </w:p>
    <w:p w:rsidR="000A2920" w:rsidRPr="00FC7D26" w:rsidRDefault="002C282C" w:rsidP="002C282C">
      <w:pPr>
        <w:pStyle w:val="a9"/>
        <w:numPr>
          <w:ilvl w:val="0"/>
          <w:numId w:val="2"/>
        </w:numPr>
        <w:spacing w:line="260" w:lineRule="exact"/>
        <w:ind w:leftChars="0"/>
        <w:rPr>
          <w:rFonts w:ascii="Arial" w:hAnsi="Arial" w:cs="Arial"/>
          <w:sz w:val="22"/>
        </w:rPr>
      </w:pPr>
      <w:r w:rsidRPr="00FC7D26">
        <w:rPr>
          <w:rFonts w:ascii="Arial" w:hAnsi="Arial" w:cs="Arial"/>
          <w:sz w:val="22"/>
        </w:rPr>
        <w:t>A</w:t>
      </w:r>
      <w:r w:rsidR="000A2920" w:rsidRPr="00FC7D26">
        <w:rPr>
          <w:rFonts w:ascii="Arial" w:hAnsi="Arial" w:cs="Arial"/>
          <w:sz w:val="22"/>
        </w:rPr>
        <w:t xml:space="preserve"> new </w:t>
      </w:r>
      <w:r w:rsidR="000A2920" w:rsidRPr="00FC7D26">
        <w:rPr>
          <w:rFonts w:ascii="Arial" w:hAnsi="Arial" w:cs="Arial"/>
          <w:sz w:val="22"/>
          <w:u w:val="single"/>
        </w:rPr>
        <w:t>LLM scholarship</w:t>
      </w:r>
      <w:r w:rsidR="000A2920" w:rsidRPr="00FC7D26">
        <w:rPr>
          <w:rFonts w:ascii="Arial" w:hAnsi="Arial" w:cs="Arial"/>
          <w:sz w:val="22"/>
        </w:rPr>
        <w:t xml:space="preserve"> </w:t>
      </w:r>
      <w:r w:rsidRPr="00FC7D26">
        <w:rPr>
          <w:rFonts w:ascii="Arial" w:hAnsi="Arial" w:cs="Arial"/>
          <w:sz w:val="22"/>
        </w:rPr>
        <w:t xml:space="preserve">is offered by FSE and Tulane University Law School </w:t>
      </w:r>
      <w:r w:rsidR="000A2920" w:rsidRPr="00FC7D26">
        <w:rPr>
          <w:rFonts w:ascii="Arial" w:hAnsi="Arial" w:cs="Arial"/>
          <w:sz w:val="22"/>
        </w:rPr>
        <w:t>in Louisiana, America’s only state whose legal system is not based on common law.</w:t>
      </w:r>
      <w:r w:rsidRPr="00FC7D26">
        <w:rPr>
          <w:rFonts w:ascii="Arial" w:hAnsi="Arial" w:cs="Arial"/>
          <w:sz w:val="22"/>
        </w:rPr>
        <w:t xml:space="preserve"> Applications are invited.</w:t>
      </w:r>
    </w:p>
    <w:p w:rsidR="0055670F" w:rsidRPr="00FC7D26" w:rsidRDefault="0055670F" w:rsidP="00120A20">
      <w:pPr>
        <w:spacing w:line="260" w:lineRule="exact"/>
        <w:rPr>
          <w:rFonts w:ascii="Arial" w:hAnsi="Arial" w:cs="Arial"/>
          <w:sz w:val="22"/>
        </w:rPr>
      </w:pPr>
      <w:r w:rsidRPr="00FC7D26">
        <w:rPr>
          <w:rFonts w:ascii="Arial" w:hAnsi="Arial" w:cs="Arial"/>
          <w:sz w:val="22"/>
        </w:rPr>
        <w:t>Dr. William Vocke, the executive director of the foundation says,</w:t>
      </w:r>
      <w:r w:rsidR="000A2920" w:rsidRPr="00FC7D26">
        <w:rPr>
          <w:rFonts w:ascii="Arial" w:hAnsi="Arial" w:cs="Arial"/>
          <w:sz w:val="22"/>
        </w:rPr>
        <w:t xml:space="preserve"> “The </w:t>
      </w:r>
      <w:r w:rsidRPr="00FC7D26">
        <w:rPr>
          <w:rFonts w:ascii="Arial" w:hAnsi="Arial" w:cs="Arial"/>
          <w:sz w:val="22"/>
        </w:rPr>
        <w:t>Fulbright-For</w:t>
      </w:r>
      <w:r w:rsidR="000A2920" w:rsidRPr="00FC7D26">
        <w:rPr>
          <w:rFonts w:ascii="Arial" w:hAnsi="Arial" w:cs="Arial"/>
          <w:sz w:val="22"/>
        </w:rPr>
        <w:t>mosa Plastics Group Scholarship</w:t>
      </w:r>
      <w:r w:rsidRPr="00FC7D26">
        <w:rPr>
          <w:rFonts w:ascii="Arial" w:hAnsi="Arial" w:cs="Arial"/>
          <w:sz w:val="22"/>
        </w:rPr>
        <w:t xml:space="preserve"> is the first joint scholarship</w:t>
      </w:r>
      <w:r w:rsidR="00BF1798">
        <w:rPr>
          <w:rFonts w:ascii="Arial" w:hAnsi="Arial" w:cs="Arial"/>
          <w:sz w:val="22"/>
        </w:rPr>
        <w:t xml:space="preserve"> between</w:t>
      </w:r>
      <w:r w:rsidRPr="00FC7D26">
        <w:rPr>
          <w:rFonts w:ascii="Arial" w:hAnsi="Arial" w:cs="Arial"/>
          <w:sz w:val="22"/>
        </w:rPr>
        <w:t xml:space="preserve"> the Fulbright Program and </w:t>
      </w:r>
      <w:r w:rsidR="005A02C5" w:rsidRPr="00FC7D26">
        <w:rPr>
          <w:rFonts w:ascii="Arial" w:hAnsi="Arial" w:cs="Arial"/>
          <w:sz w:val="22"/>
        </w:rPr>
        <w:t xml:space="preserve">a private </w:t>
      </w:r>
      <w:r w:rsidR="00E65111" w:rsidRPr="00FC7D26">
        <w:rPr>
          <w:rFonts w:ascii="Arial" w:hAnsi="Arial" w:cs="Arial"/>
          <w:sz w:val="22"/>
        </w:rPr>
        <w:t>corporation</w:t>
      </w:r>
      <w:r w:rsidRPr="00FC7D26">
        <w:rPr>
          <w:rFonts w:ascii="Arial" w:hAnsi="Arial" w:cs="Arial"/>
          <w:sz w:val="22"/>
        </w:rPr>
        <w:t xml:space="preserve"> in Taiwan. </w:t>
      </w:r>
      <w:r w:rsidR="00120A20" w:rsidRPr="00FC7D26">
        <w:rPr>
          <w:rFonts w:ascii="Arial" w:hAnsi="Arial" w:cs="Arial"/>
          <w:sz w:val="22"/>
        </w:rPr>
        <w:t>This</w:t>
      </w:r>
      <w:r w:rsidR="000A2920" w:rsidRPr="00FC7D26">
        <w:rPr>
          <w:rFonts w:ascii="Arial" w:hAnsi="Arial" w:cs="Arial"/>
          <w:sz w:val="22"/>
        </w:rPr>
        <w:t xml:space="preserve"> is an</w:t>
      </w:r>
      <w:r w:rsidRPr="00FC7D26">
        <w:rPr>
          <w:rFonts w:ascii="Arial" w:hAnsi="Arial" w:cs="Arial"/>
          <w:sz w:val="22"/>
        </w:rPr>
        <w:t xml:space="preserve"> important sign</w:t>
      </w:r>
      <w:r w:rsidR="000A2920" w:rsidRPr="00FC7D26">
        <w:rPr>
          <w:rFonts w:ascii="Arial" w:hAnsi="Arial" w:cs="Arial"/>
          <w:sz w:val="22"/>
        </w:rPr>
        <w:t xml:space="preserve"> that private companies in Taiwan </w:t>
      </w:r>
      <w:r w:rsidR="00BF1798">
        <w:rPr>
          <w:rFonts w:ascii="Arial" w:hAnsi="Arial" w:cs="Arial"/>
          <w:sz w:val="22"/>
        </w:rPr>
        <w:t xml:space="preserve">are </w:t>
      </w:r>
      <w:r w:rsidRPr="00FC7D26">
        <w:rPr>
          <w:rFonts w:ascii="Arial" w:hAnsi="Arial" w:cs="Arial"/>
          <w:sz w:val="22"/>
        </w:rPr>
        <w:t xml:space="preserve">willing and capable of connecting with the world to tackle issues larger </w:t>
      </w:r>
      <w:r w:rsidR="00BF1798">
        <w:rPr>
          <w:rFonts w:ascii="Arial" w:hAnsi="Arial" w:cs="Arial"/>
          <w:sz w:val="22"/>
        </w:rPr>
        <w:t xml:space="preserve">in scale than </w:t>
      </w:r>
      <w:r w:rsidRPr="00FC7D26">
        <w:rPr>
          <w:rFonts w:ascii="Arial" w:hAnsi="Arial" w:cs="Arial"/>
          <w:sz w:val="22"/>
        </w:rPr>
        <w:t>Taiwan.</w:t>
      </w:r>
      <w:r w:rsidR="000A2920" w:rsidRPr="00FC7D26">
        <w:rPr>
          <w:rFonts w:ascii="Arial" w:hAnsi="Arial" w:cs="Arial"/>
          <w:sz w:val="22"/>
        </w:rPr>
        <w:t xml:space="preserve"> Similarly, the cooperation with Tulane University is a milestone in new opportunities for Taiwanese students.”</w:t>
      </w:r>
      <w:r w:rsidRPr="00FC7D26">
        <w:rPr>
          <w:rFonts w:ascii="Arial" w:hAnsi="Arial" w:cs="Arial"/>
          <w:sz w:val="22"/>
        </w:rPr>
        <w:t xml:space="preserve"> </w:t>
      </w:r>
    </w:p>
    <w:p w:rsidR="0055670F" w:rsidRPr="00FC7D26" w:rsidRDefault="0055670F" w:rsidP="00120A20">
      <w:pPr>
        <w:spacing w:line="260" w:lineRule="exact"/>
        <w:rPr>
          <w:rFonts w:ascii="Arial" w:hAnsi="Arial" w:cs="Arial"/>
          <w:sz w:val="22"/>
        </w:rPr>
      </w:pPr>
    </w:p>
    <w:p w:rsidR="002C282C" w:rsidRPr="00FC7D26" w:rsidRDefault="002C282C" w:rsidP="00120A20">
      <w:pPr>
        <w:spacing w:line="260" w:lineRule="exact"/>
        <w:rPr>
          <w:rFonts w:ascii="Arial" w:hAnsi="Arial" w:cs="Arial"/>
          <w:sz w:val="22"/>
        </w:rPr>
      </w:pPr>
      <w:r w:rsidRPr="00FC7D26">
        <w:rPr>
          <w:rFonts w:ascii="Arial" w:hAnsi="Arial" w:cs="Arial"/>
          <w:sz w:val="22"/>
        </w:rPr>
        <w:t xml:space="preserve">Language Teaching is also an area of </w:t>
      </w:r>
      <w:r w:rsidR="00630F6C">
        <w:rPr>
          <w:rFonts w:ascii="Arial" w:hAnsi="Arial" w:cs="Arial"/>
          <w:sz w:val="22"/>
        </w:rPr>
        <w:t xml:space="preserve">increasing </w:t>
      </w:r>
      <w:r w:rsidRPr="00FC7D26">
        <w:rPr>
          <w:rFonts w:ascii="Arial" w:hAnsi="Arial" w:cs="Arial"/>
          <w:sz w:val="22"/>
        </w:rPr>
        <w:t xml:space="preserve">concentration for FSE. </w:t>
      </w:r>
    </w:p>
    <w:p w:rsidR="00D52E45" w:rsidRPr="00FC7D26" w:rsidRDefault="002C282C" w:rsidP="002C282C">
      <w:pPr>
        <w:pStyle w:val="a9"/>
        <w:numPr>
          <w:ilvl w:val="0"/>
          <w:numId w:val="3"/>
        </w:numPr>
        <w:spacing w:line="260" w:lineRule="exact"/>
        <w:ind w:leftChars="0"/>
        <w:rPr>
          <w:rFonts w:ascii="Arial" w:hAnsi="Arial" w:cs="Arial"/>
          <w:sz w:val="22"/>
        </w:rPr>
      </w:pPr>
      <w:r w:rsidRPr="00FC7D26">
        <w:rPr>
          <w:rFonts w:ascii="Arial" w:hAnsi="Arial" w:cs="Arial" w:hint="eastAsia"/>
          <w:sz w:val="22"/>
          <w:u w:val="single"/>
        </w:rPr>
        <w:t xml:space="preserve">Foreign Language Teaching Assistants </w:t>
      </w:r>
      <w:r w:rsidRPr="00FC7D26">
        <w:rPr>
          <w:rFonts w:ascii="Arial" w:hAnsi="Arial" w:cs="Arial" w:hint="eastAsia"/>
          <w:sz w:val="22"/>
        </w:rPr>
        <w:t xml:space="preserve">(FLTAs) </w:t>
      </w:r>
      <w:r w:rsidR="00BF1798">
        <w:rPr>
          <w:rFonts w:ascii="Arial" w:hAnsi="Arial" w:cs="Arial"/>
          <w:sz w:val="22"/>
        </w:rPr>
        <w:t>ware</w:t>
      </w:r>
      <w:r w:rsidRPr="00FC7D26">
        <w:rPr>
          <w:rFonts w:ascii="Arial" w:hAnsi="Arial" w:cs="Arial"/>
          <w:sz w:val="22"/>
        </w:rPr>
        <w:t xml:space="preserve"> recently</w:t>
      </w:r>
      <w:r w:rsidRPr="00FC7D26">
        <w:rPr>
          <w:rFonts w:ascii="Arial" w:hAnsi="Arial" w:cs="Arial" w:hint="eastAsia"/>
          <w:sz w:val="22"/>
        </w:rPr>
        <w:t xml:space="preserve"> added to </w:t>
      </w:r>
      <w:r w:rsidR="00BF1798">
        <w:rPr>
          <w:rFonts w:ascii="Arial" w:hAnsi="Arial" w:cs="Arial"/>
          <w:sz w:val="22"/>
        </w:rPr>
        <w:t xml:space="preserve">the </w:t>
      </w:r>
      <w:r w:rsidRPr="00FC7D26">
        <w:rPr>
          <w:rFonts w:ascii="Arial" w:hAnsi="Arial" w:cs="Arial" w:hint="eastAsia"/>
          <w:sz w:val="22"/>
        </w:rPr>
        <w:t xml:space="preserve">FSE program. </w:t>
      </w:r>
      <w:r w:rsidRPr="00FC7D26">
        <w:rPr>
          <w:rFonts w:ascii="Arial" w:hAnsi="Arial" w:cs="Arial"/>
          <w:sz w:val="22"/>
        </w:rPr>
        <w:t>These are young Taiwanese</w:t>
      </w:r>
      <w:r w:rsidR="00630F6C">
        <w:rPr>
          <w:rFonts w:ascii="Arial" w:hAnsi="Arial" w:cs="Arial"/>
          <w:sz w:val="22"/>
        </w:rPr>
        <w:t xml:space="preserve"> who are </w:t>
      </w:r>
      <w:r w:rsidRPr="00FC7D26">
        <w:rPr>
          <w:rFonts w:ascii="Arial" w:hAnsi="Arial" w:cs="Arial"/>
          <w:sz w:val="22"/>
        </w:rPr>
        <w:t>teaching or trained to teach English, who go to the US for one year. They teach and assist Mandarin</w:t>
      </w:r>
      <w:r w:rsidR="00BF1798">
        <w:rPr>
          <w:rFonts w:ascii="Arial" w:hAnsi="Arial" w:cs="Arial"/>
          <w:sz w:val="22"/>
        </w:rPr>
        <w:t xml:space="preserve"> education</w:t>
      </w:r>
      <w:r w:rsidRPr="00FC7D26">
        <w:rPr>
          <w:rFonts w:ascii="Arial" w:hAnsi="Arial" w:cs="Arial"/>
          <w:sz w:val="22"/>
        </w:rPr>
        <w:t xml:space="preserve"> at American universities and take</w:t>
      </w:r>
      <w:r w:rsidR="005A02C5" w:rsidRPr="00FC7D26">
        <w:rPr>
          <w:rFonts w:ascii="Arial" w:hAnsi="Arial" w:cs="Arial"/>
          <w:sz w:val="22"/>
        </w:rPr>
        <w:t xml:space="preserve"> course work. They are provided</w:t>
      </w:r>
      <w:r w:rsidRPr="00FC7D26">
        <w:rPr>
          <w:rFonts w:ascii="Arial" w:hAnsi="Arial" w:cs="Arial"/>
          <w:sz w:val="22"/>
        </w:rPr>
        <w:t xml:space="preserve"> tuition, housing, airfare, and a stipend.</w:t>
      </w:r>
    </w:p>
    <w:p w:rsidR="002C282C" w:rsidRPr="00FC7D26" w:rsidRDefault="002C282C" w:rsidP="002C282C">
      <w:pPr>
        <w:pStyle w:val="a9"/>
        <w:widowControl w:val="0"/>
        <w:numPr>
          <w:ilvl w:val="0"/>
          <w:numId w:val="3"/>
        </w:numPr>
        <w:spacing w:line="260" w:lineRule="exact"/>
        <w:ind w:leftChars="0"/>
        <w:rPr>
          <w:rFonts w:ascii="Arial" w:hAnsi="Arial" w:cs="Arial"/>
          <w:sz w:val="22"/>
        </w:rPr>
      </w:pPr>
      <w:r w:rsidRPr="00FC7D26">
        <w:rPr>
          <w:rFonts w:ascii="Arial" w:hAnsi="Arial" w:cs="Arial" w:hint="eastAsia"/>
          <w:sz w:val="22"/>
        </w:rPr>
        <w:t xml:space="preserve">A </w:t>
      </w:r>
      <w:r w:rsidRPr="00FC7D26">
        <w:rPr>
          <w:rFonts w:ascii="Arial" w:hAnsi="Arial" w:cs="Arial" w:hint="eastAsia"/>
          <w:sz w:val="22"/>
          <w:u w:val="single"/>
        </w:rPr>
        <w:t>Distinguished Teacher Award</w:t>
      </w:r>
      <w:r w:rsidRPr="00FC7D26">
        <w:rPr>
          <w:rFonts w:ascii="Arial" w:hAnsi="Arial" w:cs="Arial" w:hint="eastAsia"/>
          <w:sz w:val="22"/>
        </w:rPr>
        <w:t xml:space="preserve"> for K-12</w:t>
      </w:r>
      <w:r w:rsidRPr="00FC7D26">
        <w:rPr>
          <w:rFonts w:ascii="Arial" w:hAnsi="Arial" w:cs="Arial"/>
          <w:sz w:val="22"/>
        </w:rPr>
        <w:t xml:space="preserve"> </w:t>
      </w:r>
      <w:r w:rsidRPr="00FC7D26">
        <w:rPr>
          <w:rFonts w:ascii="Arial" w:hAnsi="Arial" w:cs="Arial" w:hint="eastAsia"/>
          <w:sz w:val="22"/>
        </w:rPr>
        <w:t>will bring an experienced teacher t</w:t>
      </w:r>
      <w:r w:rsidRPr="00FC7D26">
        <w:rPr>
          <w:rFonts w:ascii="Arial" w:hAnsi="Arial" w:cs="Arial"/>
          <w:sz w:val="22"/>
        </w:rPr>
        <w:t xml:space="preserve"> to Indiana University</w:t>
      </w:r>
      <w:r w:rsidRPr="00FC7D26">
        <w:rPr>
          <w:rFonts w:ascii="Arial" w:hAnsi="Arial" w:cs="Arial" w:hint="eastAsia"/>
          <w:sz w:val="22"/>
        </w:rPr>
        <w:t xml:space="preserve"> </w:t>
      </w:r>
      <w:r w:rsidRPr="00FC7D26">
        <w:rPr>
          <w:rFonts w:ascii="Arial" w:hAnsi="Arial" w:cs="Arial"/>
          <w:sz w:val="22"/>
        </w:rPr>
        <w:t xml:space="preserve">for a semester </w:t>
      </w:r>
      <w:r w:rsidRPr="00FC7D26">
        <w:rPr>
          <w:rFonts w:ascii="Arial" w:hAnsi="Arial" w:cs="Arial" w:hint="eastAsia"/>
          <w:sz w:val="22"/>
        </w:rPr>
        <w:t>to study, undertake a project, and provide classroom expertise</w:t>
      </w:r>
      <w:r w:rsidRPr="00FC7D26">
        <w:rPr>
          <w:rFonts w:ascii="Arial" w:hAnsi="Arial" w:cs="Arial"/>
          <w:sz w:val="22"/>
        </w:rPr>
        <w:t>.</w:t>
      </w:r>
    </w:p>
    <w:p w:rsidR="002C282C" w:rsidRPr="00FC7D26" w:rsidRDefault="002C282C" w:rsidP="002C282C">
      <w:pPr>
        <w:pStyle w:val="a9"/>
        <w:widowControl w:val="0"/>
        <w:spacing w:line="260" w:lineRule="exact"/>
        <w:ind w:leftChars="0"/>
        <w:rPr>
          <w:rFonts w:ascii="Arial" w:hAnsi="Arial" w:cs="Arial"/>
          <w:sz w:val="22"/>
        </w:rPr>
      </w:pPr>
    </w:p>
    <w:p w:rsidR="00120A20" w:rsidRPr="00FC7D26" w:rsidRDefault="002C282C" w:rsidP="00D52E45">
      <w:pPr>
        <w:spacing w:line="260" w:lineRule="exact"/>
        <w:rPr>
          <w:rFonts w:ascii="新細明體" w:eastAsia="新細明體" w:hAnsi="新細明體" w:cs="新細明體"/>
          <w:sz w:val="22"/>
          <w:lang w:eastAsia="zh-TW"/>
        </w:rPr>
      </w:pPr>
      <w:r w:rsidRPr="00FC7D26">
        <w:rPr>
          <w:rFonts w:ascii="Arial" w:hAnsi="Arial" w:cs="Arial"/>
          <w:sz w:val="22"/>
        </w:rPr>
        <w:t>A</w:t>
      </w:r>
      <w:r w:rsidR="00D52E45" w:rsidRPr="00FC7D26">
        <w:rPr>
          <w:rFonts w:ascii="Arial" w:hAnsi="Arial" w:cs="Arial"/>
          <w:sz w:val="22"/>
        </w:rPr>
        <w:t>pplication</w:t>
      </w:r>
      <w:r w:rsidRPr="00FC7D26">
        <w:rPr>
          <w:rFonts w:ascii="Arial" w:hAnsi="Arial" w:cs="Arial"/>
          <w:sz w:val="22"/>
        </w:rPr>
        <w:t>s are</w:t>
      </w:r>
      <w:r w:rsidR="00D52E45" w:rsidRPr="00FC7D26">
        <w:rPr>
          <w:rFonts w:ascii="Arial" w:hAnsi="Arial" w:cs="Arial"/>
          <w:sz w:val="22"/>
        </w:rPr>
        <w:t xml:space="preserve"> open online. For students, the deadline is </w:t>
      </w:r>
      <w:r w:rsidR="00BF1798">
        <w:rPr>
          <w:rFonts w:ascii="Arial" w:hAnsi="Arial" w:cs="Arial"/>
          <w:sz w:val="22"/>
        </w:rPr>
        <w:t xml:space="preserve">the </w:t>
      </w:r>
      <w:r w:rsidR="00D52E45" w:rsidRPr="00FC7D26">
        <w:rPr>
          <w:rFonts w:ascii="Arial" w:hAnsi="Arial" w:cs="Arial"/>
          <w:sz w:val="22"/>
        </w:rPr>
        <w:t>1</w:t>
      </w:r>
      <w:r w:rsidR="00D52E45" w:rsidRPr="00FC7D26">
        <w:rPr>
          <w:rFonts w:ascii="Arial" w:hAnsi="Arial" w:cs="Arial"/>
          <w:sz w:val="22"/>
          <w:vertAlign w:val="superscript"/>
        </w:rPr>
        <w:t>st</w:t>
      </w:r>
      <w:r w:rsidR="00D52E45" w:rsidRPr="00FC7D26">
        <w:rPr>
          <w:rFonts w:ascii="Arial" w:hAnsi="Arial" w:cs="Arial"/>
          <w:sz w:val="22"/>
        </w:rPr>
        <w:t xml:space="preserve"> of August, </w:t>
      </w:r>
      <w:r w:rsidR="004C39DD" w:rsidRPr="00FC7D26">
        <w:rPr>
          <w:rFonts w:ascii="Arial" w:hAnsi="Arial" w:cs="Arial"/>
          <w:sz w:val="22"/>
        </w:rPr>
        <w:t xml:space="preserve">for the </w:t>
      </w:r>
      <w:r w:rsidRPr="00FC7D26">
        <w:rPr>
          <w:rFonts w:ascii="Arial" w:hAnsi="Arial" w:cs="Arial"/>
          <w:sz w:val="22"/>
        </w:rPr>
        <w:t>FLTAs</w:t>
      </w:r>
      <w:r w:rsidR="004C39DD" w:rsidRPr="00FC7D26">
        <w:rPr>
          <w:rFonts w:ascii="Arial" w:hAnsi="Arial" w:cs="Arial"/>
          <w:sz w:val="22"/>
        </w:rPr>
        <w:t xml:space="preserve">, the deadline is </w:t>
      </w:r>
      <w:r w:rsidR="00BF1798">
        <w:rPr>
          <w:rFonts w:ascii="Arial" w:hAnsi="Arial" w:cs="Arial"/>
          <w:sz w:val="22"/>
        </w:rPr>
        <w:t xml:space="preserve">the </w:t>
      </w:r>
      <w:r w:rsidR="004C39DD" w:rsidRPr="00FC7D26">
        <w:rPr>
          <w:rFonts w:ascii="Arial" w:hAnsi="Arial" w:cs="Arial"/>
          <w:sz w:val="22"/>
        </w:rPr>
        <w:t>15</w:t>
      </w:r>
      <w:r w:rsidR="004C39DD" w:rsidRPr="00FC7D26">
        <w:rPr>
          <w:rFonts w:ascii="Arial" w:hAnsi="Arial" w:cs="Arial"/>
          <w:sz w:val="22"/>
          <w:vertAlign w:val="superscript"/>
        </w:rPr>
        <w:t>th</w:t>
      </w:r>
      <w:r w:rsidR="004C39DD" w:rsidRPr="00FC7D26">
        <w:rPr>
          <w:rFonts w:ascii="Arial" w:hAnsi="Arial" w:cs="Arial"/>
          <w:sz w:val="22"/>
        </w:rPr>
        <w:t xml:space="preserve"> of August, </w:t>
      </w:r>
      <w:r w:rsidR="00D52E45" w:rsidRPr="00FC7D26">
        <w:rPr>
          <w:rFonts w:ascii="Arial" w:hAnsi="Arial" w:cs="Arial"/>
          <w:sz w:val="22"/>
        </w:rPr>
        <w:t>and for scholars</w:t>
      </w:r>
      <w:r w:rsidRPr="00FC7D26">
        <w:rPr>
          <w:rFonts w:ascii="Arial" w:hAnsi="Arial" w:cs="Arial"/>
          <w:sz w:val="22"/>
        </w:rPr>
        <w:t>,</w:t>
      </w:r>
      <w:r w:rsidR="00D52E45" w:rsidRPr="00FC7D26">
        <w:rPr>
          <w:rFonts w:ascii="Arial" w:hAnsi="Arial" w:cs="Arial"/>
          <w:sz w:val="22"/>
        </w:rPr>
        <w:t xml:space="preserve"> professionals,</w:t>
      </w:r>
      <w:r w:rsidRPr="00FC7D26">
        <w:rPr>
          <w:rFonts w:ascii="Arial" w:hAnsi="Arial" w:cs="Arial"/>
          <w:sz w:val="22"/>
        </w:rPr>
        <w:t xml:space="preserve"> and Distinguished Teachers</w:t>
      </w:r>
      <w:r w:rsidR="00D52E45" w:rsidRPr="00FC7D26">
        <w:rPr>
          <w:rFonts w:ascii="Arial" w:hAnsi="Arial" w:cs="Arial"/>
          <w:sz w:val="22"/>
        </w:rPr>
        <w:t xml:space="preserve"> the deadline is </w:t>
      </w:r>
      <w:r w:rsidR="00BF1798">
        <w:rPr>
          <w:rFonts w:ascii="Arial" w:hAnsi="Arial" w:cs="Arial"/>
          <w:sz w:val="22"/>
        </w:rPr>
        <w:t xml:space="preserve">the </w:t>
      </w:r>
      <w:r w:rsidR="00D52E45" w:rsidRPr="00FC7D26">
        <w:rPr>
          <w:rFonts w:ascii="Arial" w:hAnsi="Arial" w:cs="Arial"/>
          <w:sz w:val="22"/>
        </w:rPr>
        <w:t>31</w:t>
      </w:r>
      <w:r w:rsidR="00D52E45" w:rsidRPr="00FC7D26">
        <w:rPr>
          <w:rFonts w:ascii="Arial" w:hAnsi="Arial" w:cs="Arial"/>
          <w:sz w:val="22"/>
          <w:vertAlign w:val="superscript"/>
        </w:rPr>
        <w:t>st</w:t>
      </w:r>
      <w:r w:rsidR="00D52E45" w:rsidRPr="00FC7D26">
        <w:rPr>
          <w:rFonts w:ascii="Arial" w:hAnsi="Arial" w:cs="Arial"/>
          <w:sz w:val="22"/>
        </w:rPr>
        <w:t xml:space="preserve"> of October. For further information </w:t>
      </w:r>
      <w:r w:rsidR="00D52E45" w:rsidRPr="00FC7D26">
        <w:rPr>
          <w:rFonts w:ascii="Arial" w:hAnsi="Arial" w:cs="Arial"/>
          <w:sz w:val="22"/>
        </w:rPr>
        <w:lastRenderedPageBreak/>
        <w:t xml:space="preserve">please refer to the </w:t>
      </w:r>
      <w:r w:rsidRPr="00FC7D26">
        <w:rPr>
          <w:rFonts w:ascii="Arial" w:hAnsi="Arial" w:cs="Arial"/>
          <w:sz w:val="22"/>
        </w:rPr>
        <w:t>FSE</w:t>
      </w:r>
      <w:r w:rsidR="00D52E45" w:rsidRPr="00FC7D26">
        <w:rPr>
          <w:rFonts w:ascii="Arial" w:hAnsi="Arial" w:cs="Arial"/>
          <w:sz w:val="22"/>
        </w:rPr>
        <w:t xml:space="preserve"> website: </w:t>
      </w:r>
      <w:hyperlink r:id="rId9" w:history="1">
        <w:r w:rsidR="00D52E45" w:rsidRPr="00FC7D26">
          <w:rPr>
            <w:rStyle w:val="a6"/>
            <w:rFonts w:ascii="Arial" w:hAnsi="Arial" w:cs="Arial"/>
            <w:sz w:val="22"/>
          </w:rPr>
          <w:t>http://www.fulbright.org.tw/</w:t>
        </w:r>
      </w:hyperlink>
      <w:r w:rsidR="00D52E45" w:rsidRPr="00FC7D26">
        <w:rPr>
          <w:rFonts w:ascii="Arial" w:hAnsi="Arial" w:cs="Arial"/>
          <w:sz w:val="22"/>
        </w:rPr>
        <w:t xml:space="preserve"> or call </w:t>
      </w:r>
      <w:r w:rsidR="00D52E45" w:rsidRPr="00FC7D26">
        <w:rPr>
          <w:rFonts w:ascii="Arial" w:eastAsia="新細明體" w:hAnsi="Arial" w:cs="Arial"/>
          <w:sz w:val="22"/>
          <w:lang w:eastAsia="zh-TW"/>
        </w:rPr>
        <w:t>Ms. Lin: 02-2388-2100 ext. 112</w:t>
      </w:r>
    </w:p>
    <w:p w:rsidR="00D52E45" w:rsidRPr="00FC7D26" w:rsidRDefault="00D52E45" w:rsidP="00D52E45">
      <w:pPr>
        <w:spacing w:line="260" w:lineRule="exact"/>
        <w:rPr>
          <w:rFonts w:ascii="新細明體" w:eastAsia="新細明體" w:hAnsi="新細明體" w:cs="新細明體"/>
          <w:lang w:eastAsia="zh-TW"/>
        </w:rPr>
      </w:pPr>
    </w:p>
    <w:p w:rsidR="00120A20" w:rsidRPr="00FC7D26" w:rsidRDefault="00120A20" w:rsidP="00120A20">
      <w:pPr>
        <w:rPr>
          <w:rFonts w:ascii="新細明體" w:eastAsia="新細明體" w:hAnsi="新細明體" w:cs="新細明體"/>
          <w:lang w:eastAsia="zh-TW"/>
        </w:rPr>
      </w:pPr>
    </w:p>
    <w:p w:rsidR="00D52E45" w:rsidRPr="00FC7D26" w:rsidRDefault="00D52E45" w:rsidP="00120A20">
      <w:pPr>
        <w:rPr>
          <w:rFonts w:ascii="新細明體" w:eastAsia="新細明體" w:hAnsi="新細明體" w:cs="新細明體"/>
          <w:lang w:eastAsia="zh-TW"/>
        </w:rPr>
      </w:pPr>
    </w:p>
    <w:p w:rsidR="00181CB2" w:rsidRPr="00FC7D26" w:rsidRDefault="00181CB2" w:rsidP="00181CB2">
      <w:pPr>
        <w:spacing w:line="360" w:lineRule="auto"/>
        <w:rPr>
          <w:rFonts w:ascii="Arial" w:hAnsi="Arial" w:cs="Arial"/>
          <w:b/>
          <w:sz w:val="28"/>
        </w:rPr>
      </w:pPr>
      <w:r w:rsidRPr="00FC7D26">
        <w:rPr>
          <w:rFonts w:ascii="Arial" w:hAnsi="Arial" w:cs="Arial"/>
          <w:b/>
          <w:sz w:val="28"/>
        </w:rPr>
        <w:t>About the Foundation for Scholarly Exchange (FSE)</w:t>
      </w:r>
    </w:p>
    <w:p w:rsidR="00181CB2" w:rsidRPr="00FC7D26" w:rsidRDefault="00181CB2" w:rsidP="00181CB2">
      <w:pPr>
        <w:spacing w:line="260" w:lineRule="exact"/>
        <w:rPr>
          <w:rFonts w:ascii="Arial" w:hAnsi="Arial" w:cs="Arial"/>
          <w:sz w:val="22"/>
        </w:rPr>
      </w:pPr>
      <w:r w:rsidRPr="00FC7D26">
        <w:rPr>
          <w:rFonts w:ascii="Arial" w:hAnsi="Arial" w:cs="Arial"/>
          <w:sz w:val="22"/>
        </w:rPr>
        <w:t>FSE (Fulbright Taiwan) is one of approximately 5</w:t>
      </w:r>
      <w:r w:rsidR="00FC7D26" w:rsidRPr="00FC7D26">
        <w:rPr>
          <w:rFonts w:ascii="Arial" w:hAnsi="Arial" w:cs="Arial"/>
          <w:sz w:val="22"/>
        </w:rPr>
        <w:t>0</w:t>
      </w:r>
      <w:r w:rsidRPr="00FC7D26">
        <w:rPr>
          <w:rFonts w:ascii="Arial" w:hAnsi="Arial" w:cs="Arial"/>
          <w:sz w:val="22"/>
        </w:rPr>
        <w:t xml:space="preserve"> bi-national/bilateral organizations in the world established to administer the Fulbright educational exchange program outside the U.S. Over the past 50 years, the Foundation has financed over 1,600 Taiwan Fulbright grantees to the U.S. and more than 1,300 U.S. Fulbright grantees to Taiwan.</w:t>
      </w:r>
    </w:p>
    <w:p w:rsidR="00181CB2" w:rsidRPr="00FC7D26" w:rsidRDefault="00181CB2" w:rsidP="00181CB2">
      <w:pPr>
        <w:spacing w:line="260" w:lineRule="exact"/>
        <w:rPr>
          <w:rFonts w:ascii="Arial" w:hAnsi="Arial" w:cs="Arial"/>
          <w:sz w:val="22"/>
        </w:rPr>
      </w:pPr>
      <w:r w:rsidRPr="00FC7D26">
        <w:rPr>
          <w:rFonts w:ascii="Arial" w:hAnsi="Arial" w:cs="Arial"/>
          <w:sz w:val="22"/>
        </w:rPr>
        <w:t xml:space="preserve"> </w:t>
      </w:r>
    </w:p>
    <w:p w:rsidR="00BF1798" w:rsidRPr="005636B3" w:rsidRDefault="00BF1798" w:rsidP="00BF1798">
      <w:pPr>
        <w:spacing w:line="260" w:lineRule="exact"/>
        <w:rPr>
          <w:rFonts w:ascii="Arial" w:hAnsi="Arial" w:cs="Arial"/>
          <w:sz w:val="22"/>
        </w:rPr>
      </w:pPr>
      <w:r w:rsidRPr="005636B3">
        <w:rPr>
          <w:rFonts w:ascii="Arial" w:hAnsi="Arial" w:cs="Arial"/>
          <w:sz w:val="22"/>
        </w:rPr>
        <w:t xml:space="preserve">Taiwan’s Fulbright Program </w:t>
      </w:r>
      <w:r>
        <w:rPr>
          <w:rFonts w:ascii="Arial" w:hAnsi="Arial" w:cs="Arial"/>
          <w:sz w:val="22"/>
        </w:rPr>
        <w:t xml:space="preserve">receives support from </w:t>
      </w:r>
      <w:r w:rsidRPr="005636B3">
        <w:rPr>
          <w:rFonts w:ascii="Arial" w:hAnsi="Arial" w:cs="Arial"/>
          <w:sz w:val="22"/>
        </w:rPr>
        <w:t>U.S. government</w:t>
      </w:r>
      <w:r>
        <w:rPr>
          <w:rFonts w:ascii="Arial" w:hAnsi="Arial" w:cs="Arial"/>
          <w:sz w:val="22"/>
        </w:rPr>
        <w:t xml:space="preserve"> through the American Institute in Taiwan (AIT)</w:t>
      </w:r>
      <w:r w:rsidRPr="005636B3">
        <w:rPr>
          <w:rFonts w:ascii="Arial" w:hAnsi="Arial" w:cs="Arial"/>
          <w:sz w:val="22"/>
        </w:rPr>
        <w:t xml:space="preserve"> </w:t>
      </w:r>
      <w:r>
        <w:rPr>
          <w:rFonts w:ascii="Arial" w:hAnsi="Arial" w:cs="Arial"/>
          <w:sz w:val="22"/>
        </w:rPr>
        <w:t xml:space="preserve">and the U.S. Department of State (DOS), </w:t>
      </w:r>
      <w:r w:rsidRPr="005636B3">
        <w:rPr>
          <w:rFonts w:ascii="Arial" w:hAnsi="Arial" w:cs="Arial"/>
          <w:sz w:val="22"/>
        </w:rPr>
        <w:t xml:space="preserve">and </w:t>
      </w:r>
      <w:r>
        <w:rPr>
          <w:rFonts w:ascii="Arial" w:hAnsi="Arial" w:cs="Arial"/>
          <w:sz w:val="22"/>
        </w:rPr>
        <w:t xml:space="preserve">from the </w:t>
      </w:r>
      <w:r w:rsidRPr="005636B3">
        <w:rPr>
          <w:rFonts w:ascii="Arial" w:hAnsi="Arial" w:cs="Arial"/>
          <w:sz w:val="22"/>
        </w:rPr>
        <w:t xml:space="preserve">Taiwanese </w:t>
      </w:r>
      <w:r>
        <w:rPr>
          <w:rFonts w:ascii="Arial" w:hAnsi="Arial" w:cs="Arial"/>
          <w:sz w:val="22"/>
        </w:rPr>
        <w:t>authorities through the Ministries of Foreign Affairs and Education (MOFA) (MOE) and the local governments of Yilan, Kaohsiung, Kinmen, Taichung, Taipei, and Taitung. Founded in 1947 in Nanjing, suspended until 1957 and restarted, formalized in 1964, and renamed in 1979 FSE’s role i</w:t>
      </w:r>
      <w:r w:rsidRPr="005636B3">
        <w:rPr>
          <w:rFonts w:ascii="Arial" w:hAnsi="Arial" w:cs="Arial"/>
          <w:sz w:val="22"/>
        </w:rPr>
        <w:t xml:space="preserve">s </w:t>
      </w:r>
      <w:r>
        <w:rPr>
          <w:rFonts w:ascii="Arial" w:hAnsi="Arial" w:cs="Arial"/>
          <w:sz w:val="22"/>
        </w:rPr>
        <w:t xml:space="preserve">to </w:t>
      </w:r>
      <w:r w:rsidRPr="005636B3">
        <w:rPr>
          <w:rFonts w:ascii="Arial" w:hAnsi="Arial" w:cs="Arial"/>
          <w:sz w:val="22"/>
        </w:rPr>
        <w:t>facilitat</w:t>
      </w:r>
      <w:r>
        <w:rPr>
          <w:rFonts w:ascii="Arial" w:hAnsi="Arial" w:cs="Arial"/>
          <w:sz w:val="22"/>
        </w:rPr>
        <w:t>e</w:t>
      </w:r>
      <w:r w:rsidRPr="005636B3">
        <w:rPr>
          <w:rFonts w:ascii="Arial" w:hAnsi="Arial" w:cs="Arial"/>
          <w:sz w:val="22"/>
        </w:rPr>
        <w:t xml:space="preserve"> all Fulbright programs in Taiwan. </w:t>
      </w:r>
      <w:r>
        <w:rPr>
          <w:rFonts w:ascii="Arial" w:hAnsi="Arial" w:cs="Arial"/>
          <w:sz w:val="22"/>
        </w:rPr>
        <w:t>It operates under a broa</w:t>
      </w:r>
      <w:r w:rsidR="00630F6C">
        <w:rPr>
          <w:rFonts w:ascii="Arial" w:hAnsi="Arial" w:cs="Arial"/>
          <w:sz w:val="22"/>
        </w:rPr>
        <w:t>d mandate to promote a “world with</w:t>
      </w:r>
      <w:r>
        <w:rPr>
          <w:rFonts w:ascii="Arial" w:hAnsi="Arial" w:cs="Arial"/>
          <w:sz w:val="22"/>
        </w:rPr>
        <w:t xml:space="preserve"> a little more knowledge and a little less conflict,” through the medium of international exchange. </w:t>
      </w:r>
      <w:r w:rsidRPr="005636B3">
        <w:rPr>
          <w:rFonts w:ascii="Arial" w:hAnsi="Arial" w:cs="Arial"/>
          <w:sz w:val="22"/>
        </w:rPr>
        <w:t xml:space="preserve">FSE’s Board of Directors includes 5 American members and 5 Taiwan members who are </w:t>
      </w:r>
      <w:r>
        <w:rPr>
          <w:rFonts w:ascii="Arial" w:hAnsi="Arial" w:cs="Arial"/>
          <w:sz w:val="22"/>
        </w:rPr>
        <w:t>the governing body for this legal, international non-profit entity.</w:t>
      </w:r>
    </w:p>
    <w:p w:rsidR="00181CB2" w:rsidRPr="00FC7D26" w:rsidRDefault="00181CB2" w:rsidP="00181CB2">
      <w:pPr>
        <w:spacing w:line="240" w:lineRule="exact"/>
        <w:rPr>
          <w:rFonts w:ascii="Arial" w:hAnsi="Arial" w:cs="Arial"/>
          <w:sz w:val="22"/>
        </w:rPr>
      </w:pPr>
    </w:p>
    <w:p w:rsidR="00181CB2" w:rsidRPr="00FC7D26" w:rsidRDefault="00181CB2" w:rsidP="00181CB2">
      <w:pPr>
        <w:spacing w:line="360" w:lineRule="auto"/>
        <w:rPr>
          <w:rFonts w:ascii="Arial" w:hAnsi="Arial" w:cs="Arial"/>
          <w:b/>
          <w:sz w:val="28"/>
        </w:rPr>
      </w:pPr>
      <w:r w:rsidRPr="00FC7D26">
        <w:rPr>
          <w:rFonts w:ascii="Arial" w:hAnsi="Arial" w:cs="Arial"/>
          <w:b/>
          <w:sz w:val="28"/>
        </w:rPr>
        <w:t>About the Fulbright Program</w:t>
      </w:r>
    </w:p>
    <w:p w:rsidR="00181CB2" w:rsidRPr="003E5B34" w:rsidRDefault="00181CB2" w:rsidP="00181CB2">
      <w:pPr>
        <w:spacing w:line="260" w:lineRule="exact"/>
        <w:rPr>
          <w:rFonts w:ascii="Arial" w:hAnsi="Arial" w:cs="Arial"/>
          <w:sz w:val="22"/>
        </w:rPr>
      </w:pPr>
      <w:r w:rsidRPr="00FC7D26">
        <w:rPr>
          <w:rFonts w:ascii="Arial" w:hAnsi="Arial" w:cs="Arial"/>
          <w:sz w:val="22"/>
        </w:rPr>
        <w:t>The Fulbright Program is the flagship international educational exchange program sponsored by the U.S. government and is designed to increase mutual understanding between the people of the United States and the people of other countries. Fulbright offers approximately 8,000 competitive, merit-based grants annually for Students, Scholars, Teachers, Professionals, and Groups. Grants are available f</w:t>
      </w:r>
      <w:r w:rsidR="00630F6C">
        <w:rPr>
          <w:rFonts w:ascii="Arial" w:hAnsi="Arial" w:cs="Arial"/>
          <w:sz w:val="22"/>
        </w:rPr>
        <w:t xml:space="preserve">or U.S. citizens to go </w:t>
      </w:r>
      <w:r w:rsidRPr="00FC7D26">
        <w:rPr>
          <w:rFonts w:ascii="Arial" w:hAnsi="Arial" w:cs="Arial"/>
          <w:sz w:val="22"/>
        </w:rPr>
        <w:t>abroad a</w:t>
      </w:r>
      <w:r w:rsidR="00630F6C">
        <w:rPr>
          <w:rFonts w:ascii="Arial" w:hAnsi="Arial" w:cs="Arial"/>
          <w:sz w:val="22"/>
        </w:rPr>
        <w:t>nd for non-U.S. citizens to travel</w:t>
      </w:r>
      <w:r w:rsidRPr="00FC7D26">
        <w:rPr>
          <w:rFonts w:ascii="Arial" w:hAnsi="Arial" w:cs="Arial"/>
          <w:sz w:val="22"/>
        </w:rPr>
        <w:t xml:space="preserve"> to the U.S.</w:t>
      </w:r>
    </w:p>
    <w:p w:rsidR="00120A20" w:rsidRPr="00181CB2" w:rsidRDefault="00120A20" w:rsidP="00181CB2">
      <w:pPr>
        <w:spacing w:line="360" w:lineRule="auto"/>
        <w:rPr>
          <w:rFonts w:ascii="新細明體" w:eastAsia="新細明體" w:hAnsi="新細明體" w:cs="新細明體"/>
          <w:lang w:eastAsia="zh-TW"/>
        </w:rPr>
      </w:pPr>
    </w:p>
    <w:sectPr w:rsidR="00120A20" w:rsidRPr="00181CB2" w:rsidSect="008D0204">
      <w:headerReference w:type="default"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AB5" w:rsidRDefault="00DD1AB5" w:rsidP="00120A20">
      <w:r>
        <w:separator/>
      </w:r>
    </w:p>
  </w:endnote>
  <w:endnote w:type="continuationSeparator" w:id="0">
    <w:p w:rsidR="00DD1AB5" w:rsidRDefault="00DD1AB5" w:rsidP="0012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95" w:rsidRDefault="00C16E95" w:rsidP="00C16E95">
    <w:pPr>
      <w:pStyle w:val="ac"/>
      <w:jc w:val="distribute"/>
      <w:rPr>
        <w:rFonts w:ascii="Arial" w:hAnsi="Arial" w:cs="Arial"/>
        <w:sz w:val="18"/>
      </w:rPr>
    </w:pPr>
    <w:r w:rsidRPr="003E5B34">
      <w:rPr>
        <w:rFonts w:ascii="Arial" w:hAnsi="Arial" w:cs="Arial"/>
        <w:sz w:val="18"/>
      </w:rPr>
      <w:t xml:space="preserve">2nd Fl., 45, Yanping S. Rd., Taipei 10043, </w:t>
    </w:r>
    <w:proofErr w:type="gramStart"/>
    <w:r w:rsidRPr="003E5B34">
      <w:rPr>
        <w:rFonts w:ascii="Arial" w:hAnsi="Arial" w:cs="Arial"/>
        <w:sz w:val="18"/>
      </w:rPr>
      <w:t xml:space="preserve">Taiwan </w:t>
    </w:r>
    <w:r>
      <w:rPr>
        <w:rFonts w:ascii="Arial" w:hAnsi="Arial" w:cs="Arial"/>
        <w:sz w:val="18"/>
      </w:rPr>
      <w:t xml:space="preserve"> |</w:t>
    </w:r>
    <w:proofErr w:type="gramEnd"/>
    <w:r>
      <w:rPr>
        <w:rFonts w:ascii="Arial" w:hAnsi="Arial" w:cs="Arial"/>
        <w:sz w:val="18"/>
      </w:rPr>
      <w:t xml:space="preserve">  </w:t>
    </w:r>
    <w:r w:rsidRPr="003E5B34">
      <w:rPr>
        <w:rFonts w:ascii="Arial" w:hAnsi="Arial" w:cs="Arial"/>
        <w:sz w:val="18"/>
      </w:rPr>
      <w:t>+886-2-2388-2100</w:t>
    </w:r>
    <w:r>
      <w:rPr>
        <w:rFonts w:ascii="Arial" w:hAnsi="Arial" w:cs="Arial"/>
        <w:sz w:val="18"/>
      </w:rPr>
      <w:t xml:space="preserve"> </w:t>
    </w:r>
    <w:r w:rsidRPr="003E5B34">
      <w:rPr>
        <w:rFonts w:ascii="Arial" w:hAnsi="Arial" w:cs="Arial"/>
        <w:sz w:val="18"/>
      </w:rPr>
      <w:t xml:space="preserve"> </w:t>
    </w:r>
    <w:r>
      <w:rPr>
        <w:rFonts w:ascii="Arial" w:hAnsi="Arial" w:cs="Arial"/>
        <w:sz w:val="18"/>
      </w:rPr>
      <w:t xml:space="preserve">|  </w:t>
    </w:r>
    <w:hyperlink r:id="rId1" w:history="1">
      <w:r w:rsidRPr="00700627">
        <w:rPr>
          <w:rStyle w:val="a6"/>
          <w:rFonts w:ascii="Arial" w:hAnsi="Arial" w:cs="Arial"/>
          <w:sz w:val="18"/>
        </w:rPr>
        <w:t>www.fulbright.org.tw</w:t>
      </w:r>
    </w:hyperlink>
  </w:p>
  <w:p w:rsidR="00C16E95" w:rsidRPr="003E5B34" w:rsidRDefault="00C16E95" w:rsidP="00C16E95">
    <w:pPr>
      <w:pStyle w:val="ac"/>
      <w:jc w:val="distribute"/>
      <w:rPr>
        <w:rFonts w:ascii="Arial" w:hAnsi="Arial" w:cs="Arial"/>
        <w:sz w:val="18"/>
        <w:lang w:eastAsia="zh-TW"/>
      </w:rPr>
    </w:pPr>
    <w:r>
      <w:rPr>
        <w:rFonts w:ascii="微軟正黑體" w:eastAsia="微軟正黑體" w:hAnsi="微軟正黑體" w:cs="微軟正黑體" w:hint="eastAsia"/>
        <w:sz w:val="18"/>
        <w:lang w:eastAsia="zh-TW"/>
      </w:rPr>
      <w:t>台北市中正區延平南路45號2樓| 電話</w:t>
    </w:r>
    <w:r>
      <w:rPr>
        <w:rFonts w:ascii="微軟正黑體" w:eastAsia="微軟正黑體" w:hAnsi="微軟正黑體" w:cs="微軟正黑體"/>
        <w:sz w:val="18"/>
        <w:lang w:eastAsia="zh-TW"/>
      </w:rPr>
      <w:t>:</w:t>
    </w:r>
    <w:r>
      <w:rPr>
        <w:rFonts w:ascii="微軟正黑體" w:eastAsia="微軟正黑體" w:hAnsi="微軟正黑體" w:cs="微軟正黑體" w:hint="eastAsia"/>
        <w:sz w:val="18"/>
        <w:lang w:eastAsia="zh-TW"/>
      </w:rPr>
      <w:t>(02)2388-2100 |  傳真: (02)2388-2855</w:t>
    </w:r>
  </w:p>
  <w:p w:rsidR="00C16E95" w:rsidRDefault="00C16E95">
    <w:pPr>
      <w:pStyle w:val="ac"/>
      <w:rPr>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AB5" w:rsidRDefault="00DD1AB5" w:rsidP="00120A20">
      <w:r>
        <w:separator/>
      </w:r>
    </w:p>
  </w:footnote>
  <w:footnote w:type="continuationSeparator" w:id="0">
    <w:p w:rsidR="00DD1AB5" w:rsidRDefault="00DD1AB5" w:rsidP="00120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95" w:rsidRDefault="00C16E95" w:rsidP="00C16E95">
    <w:pPr>
      <w:pStyle w:val="aa"/>
      <w:tabs>
        <w:tab w:val="clear" w:pos="4153"/>
        <w:tab w:val="center" w:pos="4150"/>
        <w:tab w:val="left" w:pos="6900"/>
      </w:tabs>
    </w:pPr>
    <w:r>
      <w:tab/>
    </w:r>
    <w:r>
      <w:rPr>
        <w:noProof/>
        <w:lang w:eastAsia="zh-TW"/>
      </w:rPr>
      <w:drawing>
        <wp:inline distT="0" distB="0" distL="0" distR="0" wp14:anchorId="32D6E8AE" wp14:editId="79A93A24">
          <wp:extent cx="1371600" cy="552262"/>
          <wp:effectExtent l="0" t="0" r="0" b="635"/>
          <wp:docPr id="28" name="圖片 28" descr="O:\Design\00 Element\Logo Squar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00 Element\Logo Square-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0303" r="4042" b="31061"/>
                  <a:stretch/>
                </pic:blipFill>
                <pic:spPr bwMode="auto">
                  <a:xfrm>
                    <a:off x="0" y="0"/>
                    <a:ext cx="1448404" cy="583187"/>
                  </a:xfrm>
                  <a:prstGeom prst="rect">
                    <a:avLst/>
                  </a:prstGeom>
                  <a:noFill/>
                  <a:ln>
                    <a:noFill/>
                  </a:ln>
                  <a:extLst>
                    <a:ext uri="{53640926-AAD7-44D8-BBD7-CCE9431645EC}">
                      <a14:shadowObscured xmlns:a14="http://schemas.microsoft.com/office/drawing/2010/main"/>
                    </a:ext>
                  </a:extLst>
                </pic:spPr>
              </pic:pic>
            </a:graphicData>
          </a:graphic>
        </wp:inline>
      </w:drawing>
    </w:r>
    <w:r>
      <w:tab/>
    </w:r>
  </w:p>
  <w:p w:rsidR="00C16E95" w:rsidRDefault="00C16E95" w:rsidP="00C16E95">
    <w:pPr>
      <w:pStyle w:val="aa"/>
      <w:tabs>
        <w:tab w:val="clear" w:pos="4153"/>
        <w:tab w:val="center" w:pos="4150"/>
        <w:tab w:val="left" w:pos="6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33FC"/>
    <w:multiLevelType w:val="hybridMultilevel"/>
    <w:tmpl w:val="FEE0A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4497133"/>
    <w:multiLevelType w:val="hybridMultilevel"/>
    <w:tmpl w:val="1ED8A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B9C6E85"/>
    <w:multiLevelType w:val="hybridMultilevel"/>
    <w:tmpl w:val="6442A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D002544"/>
    <w:multiLevelType w:val="hybridMultilevel"/>
    <w:tmpl w:val="910E4A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27B7ADE"/>
    <w:multiLevelType w:val="hybridMultilevel"/>
    <w:tmpl w:val="B2502E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82A5E21"/>
    <w:multiLevelType w:val="hybridMultilevel"/>
    <w:tmpl w:val="F97E0A0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96271EB"/>
    <w:multiLevelType w:val="hybridMultilevel"/>
    <w:tmpl w:val="13A031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E7"/>
    <w:rsid w:val="000A2920"/>
    <w:rsid w:val="000D5C73"/>
    <w:rsid w:val="000D6273"/>
    <w:rsid w:val="000F7CC6"/>
    <w:rsid w:val="001126E7"/>
    <w:rsid w:val="00120A20"/>
    <w:rsid w:val="0012699C"/>
    <w:rsid w:val="00181CB2"/>
    <w:rsid w:val="00184C87"/>
    <w:rsid w:val="00213F95"/>
    <w:rsid w:val="0024550C"/>
    <w:rsid w:val="002C282C"/>
    <w:rsid w:val="00341A66"/>
    <w:rsid w:val="0041774A"/>
    <w:rsid w:val="004514B1"/>
    <w:rsid w:val="004C39DD"/>
    <w:rsid w:val="0055670F"/>
    <w:rsid w:val="00593AE5"/>
    <w:rsid w:val="005A02C5"/>
    <w:rsid w:val="005C52E1"/>
    <w:rsid w:val="00630F6C"/>
    <w:rsid w:val="00677BD9"/>
    <w:rsid w:val="00727CC5"/>
    <w:rsid w:val="00774906"/>
    <w:rsid w:val="007A43D7"/>
    <w:rsid w:val="008D0204"/>
    <w:rsid w:val="00904E14"/>
    <w:rsid w:val="0096328E"/>
    <w:rsid w:val="00970F80"/>
    <w:rsid w:val="009E785D"/>
    <w:rsid w:val="00A3389F"/>
    <w:rsid w:val="00A65D9E"/>
    <w:rsid w:val="00AE0585"/>
    <w:rsid w:val="00B20E8F"/>
    <w:rsid w:val="00B479BF"/>
    <w:rsid w:val="00BA5022"/>
    <w:rsid w:val="00BF1798"/>
    <w:rsid w:val="00C16E95"/>
    <w:rsid w:val="00CA17B7"/>
    <w:rsid w:val="00D21ADB"/>
    <w:rsid w:val="00D52E45"/>
    <w:rsid w:val="00D87FF4"/>
    <w:rsid w:val="00DD1AB5"/>
    <w:rsid w:val="00E65111"/>
    <w:rsid w:val="00E83135"/>
    <w:rsid w:val="00EE47CD"/>
    <w:rsid w:val="00FC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65111"/>
    <w:pPr>
      <w:spacing w:before="100" w:beforeAutospacing="1" w:after="100" w:afterAutospacing="1"/>
      <w:outlineLvl w:val="3"/>
    </w:pPr>
    <w:rPr>
      <w:rFonts w:ascii="新細明體" w:eastAsia="新細明體" w:hAnsi="新細明體" w:cs="新細明體"/>
      <w:b/>
      <w:bCs/>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20A20"/>
    <w:pPr>
      <w:widowControl w:val="0"/>
      <w:snapToGrid w:val="0"/>
    </w:pPr>
    <w:rPr>
      <w:rFonts w:ascii="Times New Roman" w:eastAsia="新細明體" w:hAnsi="Times New Roman"/>
      <w:kern w:val="2"/>
      <w:sz w:val="20"/>
      <w:szCs w:val="20"/>
      <w:lang w:eastAsia="zh-TW"/>
    </w:rPr>
  </w:style>
  <w:style w:type="character" w:customStyle="1" w:styleId="a4">
    <w:name w:val="註腳文字 字元"/>
    <w:basedOn w:val="a0"/>
    <w:link w:val="a3"/>
    <w:uiPriority w:val="99"/>
    <w:semiHidden/>
    <w:rsid w:val="00120A20"/>
    <w:rPr>
      <w:rFonts w:ascii="Times New Roman" w:eastAsia="新細明體" w:hAnsi="Times New Roman"/>
      <w:kern w:val="2"/>
      <w:sz w:val="20"/>
      <w:szCs w:val="20"/>
      <w:lang w:eastAsia="zh-TW"/>
    </w:rPr>
  </w:style>
  <w:style w:type="character" w:styleId="a5">
    <w:name w:val="footnote reference"/>
    <w:basedOn w:val="a0"/>
    <w:uiPriority w:val="99"/>
    <w:semiHidden/>
    <w:unhideWhenUsed/>
    <w:rsid w:val="00120A20"/>
    <w:rPr>
      <w:vertAlign w:val="superscript"/>
    </w:rPr>
  </w:style>
  <w:style w:type="character" w:styleId="a6">
    <w:name w:val="Hyperlink"/>
    <w:basedOn w:val="a0"/>
    <w:uiPriority w:val="99"/>
    <w:unhideWhenUsed/>
    <w:rsid w:val="00D52E45"/>
    <w:rPr>
      <w:color w:val="0000FF" w:themeColor="hyperlink"/>
      <w:u w:val="single"/>
    </w:rPr>
  </w:style>
  <w:style w:type="paragraph" w:styleId="a7">
    <w:name w:val="Balloon Text"/>
    <w:basedOn w:val="a"/>
    <w:link w:val="a8"/>
    <w:uiPriority w:val="99"/>
    <w:semiHidden/>
    <w:unhideWhenUsed/>
    <w:rsid w:val="00A338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3389F"/>
    <w:rPr>
      <w:rFonts w:asciiTheme="majorHAnsi" w:eastAsiaTheme="majorEastAsia" w:hAnsiTheme="majorHAnsi" w:cstheme="majorBidi"/>
      <w:sz w:val="18"/>
      <w:szCs w:val="18"/>
    </w:rPr>
  </w:style>
  <w:style w:type="paragraph" w:styleId="a9">
    <w:name w:val="List Paragraph"/>
    <w:basedOn w:val="a"/>
    <w:uiPriority w:val="34"/>
    <w:qFormat/>
    <w:rsid w:val="00181CB2"/>
    <w:pPr>
      <w:ind w:leftChars="200" w:left="480"/>
    </w:pPr>
  </w:style>
  <w:style w:type="paragraph" w:styleId="aa">
    <w:name w:val="header"/>
    <w:basedOn w:val="a"/>
    <w:link w:val="ab"/>
    <w:uiPriority w:val="99"/>
    <w:unhideWhenUsed/>
    <w:rsid w:val="00E65111"/>
    <w:pPr>
      <w:tabs>
        <w:tab w:val="center" w:pos="4153"/>
        <w:tab w:val="right" w:pos="8306"/>
      </w:tabs>
      <w:snapToGrid w:val="0"/>
    </w:pPr>
    <w:rPr>
      <w:sz w:val="20"/>
      <w:szCs w:val="20"/>
    </w:rPr>
  </w:style>
  <w:style w:type="character" w:customStyle="1" w:styleId="ab">
    <w:name w:val="頁首 字元"/>
    <w:basedOn w:val="a0"/>
    <w:link w:val="aa"/>
    <w:uiPriority w:val="99"/>
    <w:rsid w:val="00E65111"/>
    <w:rPr>
      <w:sz w:val="20"/>
      <w:szCs w:val="20"/>
    </w:rPr>
  </w:style>
  <w:style w:type="paragraph" w:styleId="ac">
    <w:name w:val="footer"/>
    <w:basedOn w:val="a"/>
    <w:link w:val="ad"/>
    <w:uiPriority w:val="99"/>
    <w:unhideWhenUsed/>
    <w:rsid w:val="00E65111"/>
    <w:pPr>
      <w:tabs>
        <w:tab w:val="center" w:pos="4153"/>
        <w:tab w:val="right" w:pos="8306"/>
      </w:tabs>
      <w:snapToGrid w:val="0"/>
    </w:pPr>
    <w:rPr>
      <w:sz w:val="20"/>
      <w:szCs w:val="20"/>
    </w:rPr>
  </w:style>
  <w:style w:type="character" w:customStyle="1" w:styleId="ad">
    <w:name w:val="頁尾 字元"/>
    <w:basedOn w:val="a0"/>
    <w:link w:val="ac"/>
    <w:uiPriority w:val="99"/>
    <w:rsid w:val="00E65111"/>
    <w:rPr>
      <w:sz w:val="20"/>
      <w:szCs w:val="20"/>
    </w:rPr>
  </w:style>
  <w:style w:type="character" w:customStyle="1" w:styleId="40">
    <w:name w:val="標題 4 字元"/>
    <w:basedOn w:val="a0"/>
    <w:link w:val="4"/>
    <w:uiPriority w:val="9"/>
    <w:rsid w:val="00E65111"/>
    <w:rPr>
      <w:rFonts w:ascii="新細明體" w:eastAsia="新細明體" w:hAnsi="新細明體" w:cs="新細明體"/>
      <w:b/>
      <w:bCs/>
      <w:lang w:eastAsia="zh-TW"/>
    </w:rPr>
  </w:style>
  <w:style w:type="paragraph" w:styleId="ae">
    <w:name w:val="Date"/>
    <w:basedOn w:val="a"/>
    <w:next w:val="a"/>
    <w:link w:val="af"/>
    <w:uiPriority w:val="99"/>
    <w:semiHidden/>
    <w:unhideWhenUsed/>
    <w:rsid w:val="0041774A"/>
    <w:pPr>
      <w:jc w:val="right"/>
    </w:pPr>
  </w:style>
  <w:style w:type="character" w:customStyle="1" w:styleId="af">
    <w:name w:val="日期 字元"/>
    <w:basedOn w:val="a0"/>
    <w:link w:val="ae"/>
    <w:uiPriority w:val="99"/>
    <w:semiHidden/>
    <w:rsid w:val="00417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65111"/>
    <w:pPr>
      <w:spacing w:before="100" w:beforeAutospacing="1" w:after="100" w:afterAutospacing="1"/>
      <w:outlineLvl w:val="3"/>
    </w:pPr>
    <w:rPr>
      <w:rFonts w:ascii="新細明體" w:eastAsia="新細明體" w:hAnsi="新細明體" w:cs="新細明體"/>
      <w:b/>
      <w:bCs/>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20A20"/>
    <w:pPr>
      <w:widowControl w:val="0"/>
      <w:snapToGrid w:val="0"/>
    </w:pPr>
    <w:rPr>
      <w:rFonts w:ascii="Times New Roman" w:eastAsia="新細明體" w:hAnsi="Times New Roman"/>
      <w:kern w:val="2"/>
      <w:sz w:val="20"/>
      <w:szCs w:val="20"/>
      <w:lang w:eastAsia="zh-TW"/>
    </w:rPr>
  </w:style>
  <w:style w:type="character" w:customStyle="1" w:styleId="a4">
    <w:name w:val="註腳文字 字元"/>
    <w:basedOn w:val="a0"/>
    <w:link w:val="a3"/>
    <w:uiPriority w:val="99"/>
    <w:semiHidden/>
    <w:rsid w:val="00120A20"/>
    <w:rPr>
      <w:rFonts w:ascii="Times New Roman" w:eastAsia="新細明體" w:hAnsi="Times New Roman"/>
      <w:kern w:val="2"/>
      <w:sz w:val="20"/>
      <w:szCs w:val="20"/>
      <w:lang w:eastAsia="zh-TW"/>
    </w:rPr>
  </w:style>
  <w:style w:type="character" w:styleId="a5">
    <w:name w:val="footnote reference"/>
    <w:basedOn w:val="a0"/>
    <w:uiPriority w:val="99"/>
    <w:semiHidden/>
    <w:unhideWhenUsed/>
    <w:rsid w:val="00120A20"/>
    <w:rPr>
      <w:vertAlign w:val="superscript"/>
    </w:rPr>
  </w:style>
  <w:style w:type="character" w:styleId="a6">
    <w:name w:val="Hyperlink"/>
    <w:basedOn w:val="a0"/>
    <w:uiPriority w:val="99"/>
    <w:unhideWhenUsed/>
    <w:rsid w:val="00D52E45"/>
    <w:rPr>
      <w:color w:val="0000FF" w:themeColor="hyperlink"/>
      <w:u w:val="single"/>
    </w:rPr>
  </w:style>
  <w:style w:type="paragraph" w:styleId="a7">
    <w:name w:val="Balloon Text"/>
    <w:basedOn w:val="a"/>
    <w:link w:val="a8"/>
    <w:uiPriority w:val="99"/>
    <w:semiHidden/>
    <w:unhideWhenUsed/>
    <w:rsid w:val="00A338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3389F"/>
    <w:rPr>
      <w:rFonts w:asciiTheme="majorHAnsi" w:eastAsiaTheme="majorEastAsia" w:hAnsiTheme="majorHAnsi" w:cstheme="majorBidi"/>
      <w:sz w:val="18"/>
      <w:szCs w:val="18"/>
    </w:rPr>
  </w:style>
  <w:style w:type="paragraph" w:styleId="a9">
    <w:name w:val="List Paragraph"/>
    <w:basedOn w:val="a"/>
    <w:uiPriority w:val="34"/>
    <w:qFormat/>
    <w:rsid w:val="00181CB2"/>
    <w:pPr>
      <w:ind w:leftChars="200" w:left="480"/>
    </w:pPr>
  </w:style>
  <w:style w:type="paragraph" w:styleId="aa">
    <w:name w:val="header"/>
    <w:basedOn w:val="a"/>
    <w:link w:val="ab"/>
    <w:uiPriority w:val="99"/>
    <w:unhideWhenUsed/>
    <w:rsid w:val="00E65111"/>
    <w:pPr>
      <w:tabs>
        <w:tab w:val="center" w:pos="4153"/>
        <w:tab w:val="right" w:pos="8306"/>
      </w:tabs>
      <w:snapToGrid w:val="0"/>
    </w:pPr>
    <w:rPr>
      <w:sz w:val="20"/>
      <w:szCs w:val="20"/>
    </w:rPr>
  </w:style>
  <w:style w:type="character" w:customStyle="1" w:styleId="ab">
    <w:name w:val="頁首 字元"/>
    <w:basedOn w:val="a0"/>
    <w:link w:val="aa"/>
    <w:uiPriority w:val="99"/>
    <w:rsid w:val="00E65111"/>
    <w:rPr>
      <w:sz w:val="20"/>
      <w:szCs w:val="20"/>
    </w:rPr>
  </w:style>
  <w:style w:type="paragraph" w:styleId="ac">
    <w:name w:val="footer"/>
    <w:basedOn w:val="a"/>
    <w:link w:val="ad"/>
    <w:uiPriority w:val="99"/>
    <w:unhideWhenUsed/>
    <w:rsid w:val="00E65111"/>
    <w:pPr>
      <w:tabs>
        <w:tab w:val="center" w:pos="4153"/>
        <w:tab w:val="right" w:pos="8306"/>
      </w:tabs>
      <w:snapToGrid w:val="0"/>
    </w:pPr>
    <w:rPr>
      <w:sz w:val="20"/>
      <w:szCs w:val="20"/>
    </w:rPr>
  </w:style>
  <w:style w:type="character" w:customStyle="1" w:styleId="ad">
    <w:name w:val="頁尾 字元"/>
    <w:basedOn w:val="a0"/>
    <w:link w:val="ac"/>
    <w:uiPriority w:val="99"/>
    <w:rsid w:val="00E65111"/>
    <w:rPr>
      <w:sz w:val="20"/>
      <w:szCs w:val="20"/>
    </w:rPr>
  </w:style>
  <w:style w:type="character" w:customStyle="1" w:styleId="40">
    <w:name w:val="標題 4 字元"/>
    <w:basedOn w:val="a0"/>
    <w:link w:val="4"/>
    <w:uiPriority w:val="9"/>
    <w:rsid w:val="00E65111"/>
    <w:rPr>
      <w:rFonts w:ascii="新細明體" w:eastAsia="新細明體" w:hAnsi="新細明體" w:cs="新細明體"/>
      <w:b/>
      <w:bCs/>
      <w:lang w:eastAsia="zh-TW"/>
    </w:rPr>
  </w:style>
  <w:style w:type="paragraph" w:styleId="ae">
    <w:name w:val="Date"/>
    <w:basedOn w:val="a"/>
    <w:next w:val="a"/>
    <w:link w:val="af"/>
    <w:uiPriority w:val="99"/>
    <w:semiHidden/>
    <w:unhideWhenUsed/>
    <w:rsid w:val="0041774A"/>
    <w:pPr>
      <w:jc w:val="right"/>
    </w:pPr>
  </w:style>
  <w:style w:type="character" w:customStyle="1" w:styleId="af">
    <w:name w:val="日期 字元"/>
    <w:basedOn w:val="a0"/>
    <w:link w:val="ae"/>
    <w:uiPriority w:val="99"/>
    <w:semiHidden/>
    <w:rsid w:val="0041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342">
      <w:bodyDiv w:val="1"/>
      <w:marLeft w:val="0"/>
      <w:marRight w:val="0"/>
      <w:marTop w:val="0"/>
      <w:marBottom w:val="0"/>
      <w:divBdr>
        <w:top w:val="none" w:sz="0" w:space="0" w:color="auto"/>
        <w:left w:val="none" w:sz="0" w:space="0" w:color="auto"/>
        <w:bottom w:val="none" w:sz="0" w:space="0" w:color="auto"/>
        <w:right w:val="none" w:sz="0" w:space="0" w:color="auto"/>
      </w:divBdr>
    </w:div>
    <w:div w:id="162595064">
      <w:bodyDiv w:val="1"/>
      <w:marLeft w:val="0"/>
      <w:marRight w:val="0"/>
      <w:marTop w:val="0"/>
      <w:marBottom w:val="0"/>
      <w:divBdr>
        <w:top w:val="none" w:sz="0" w:space="0" w:color="auto"/>
        <w:left w:val="none" w:sz="0" w:space="0" w:color="auto"/>
        <w:bottom w:val="none" w:sz="0" w:space="0" w:color="auto"/>
        <w:right w:val="none" w:sz="0" w:space="0" w:color="auto"/>
      </w:divBdr>
    </w:div>
    <w:div w:id="193540466">
      <w:bodyDiv w:val="1"/>
      <w:marLeft w:val="0"/>
      <w:marRight w:val="0"/>
      <w:marTop w:val="0"/>
      <w:marBottom w:val="0"/>
      <w:divBdr>
        <w:top w:val="none" w:sz="0" w:space="0" w:color="auto"/>
        <w:left w:val="none" w:sz="0" w:space="0" w:color="auto"/>
        <w:bottom w:val="none" w:sz="0" w:space="0" w:color="auto"/>
        <w:right w:val="none" w:sz="0" w:space="0" w:color="auto"/>
      </w:divBdr>
    </w:div>
    <w:div w:id="309284585">
      <w:bodyDiv w:val="1"/>
      <w:marLeft w:val="0"/>
      <w:marRight w:val="0"/>
      <w:marTop w:val="0"/>
      <w:marBottom w:val="0"/>
      <w:divBdr>
        <w:top w:val="none" w:sz="0" w:space="0" w:color="auto"/>
        <w:left w:val="none" w:sz="0" w:space="0" w:color="auto"/>
        <w:bottom w:val="none" w:sz="0" w:space="0" w:color="auto"/>
        <w:right w:val="none" w:sz="0" w:space="0" w:color="auto"/>
      </w:divBdr>
    </w:div>
    <w:div w:id="546066504">
      <w:bodyDiv w:val="1"/>
      <w:marLeft w:val="0"/>
      <w:marRight w:val="0"/>
      <w:marTop w:val="0"/>
      <w:marBottom w:val="0"/>
      <w:divBdr>
        <w:top w:val="none" w:sz="0" w:space="0" w:color="auto"/>
        <w:left w:val="none" w:sz="0" w:space="0" w:color="auto"/>
        <w:bottom w:val="none" w:sz="0" w:space="0" w:color="auto"/>
        <w:right w:val="none" w:sz="0" w:space="0" w:color="auto"/>
      </w:divBdr>
    </w:div>
    <w:div w:id="650059925">
      <w:bodyDiv w:val="1"/>
      <w:marLeft w:val="0"/>
      <w:marRight w:val="0"/>
      <w:marTop w:val="0"/>
      <w:marBottom w:val="0"/>
      <w:divBdr>
        <w:top w:val="none" w:sz="0" w:space="0" w:color="auto"/>
        <w:left w:val="none" w:sz="0" w:space="0" w:color="auto"/>
        <w:bottom w:val="none" w:sz="0" w:space="0" w:color="auto"/>
        <w:right w:val="none" w:sz="0" w:space="0" w:color="auto"/>
      </w:divBdr>
    </w:div>
    <w:div w:id="813640293">
      <w:bodyDiv w:val="1"/>
      <w:marLeft w:val="0"/>
      <w:marRight w:val="0"/>
      <w:marTop w:val="0"/>
      <w:marBottom w:val="0"/>
      <w:divBdr>
        <w:top w:val="none" w:sz="0" w:space="0" w:color="auto"/>
        <w:left w:val="none" w:sz="0" w:space="0" w:color="auto"/>
        <w:bottom w:val="none" w:sz="0" w:space="0" w:color="auto"/>
        <w:right w:val="none" w:sz="0" w:space="0" w:color="auto"/>
      </w:divBdr>
    </w:div>
    <w:div w:id="1244219560">
      <w:bodyDiv w:val="1"/>
      <w:marLeft w:val="0"/>
      <w:marRight w:val="0"/>
      <w:marTop w:val="0"/>
      <w:marBottom w:val="0"/>
      <w:divBdr>
        <w:top w:val="none" w:sz="0" w:space="0" w:color="auto"/>
        <w:left w:val="none" w:sz="0" w:space="0" w:color="auto"/>
        <w:bottom w:val="none" w:sz="0" w:space="0" w:color="auto"/>
        <w:right w:val="none" w:sz="0" w:space="0" w:color="auto"/>
      </w:divBdr>
    </w:div>
    <w:div w:id="1315833510">
      <w:bodyDiv w:val="1"/>
      <w:marLeft w:val="0"/>
      <w:marRight w:val="0"/>
      <w:marTop w:val="0"/>
      <w:marBottom w:val="0"/>
      <w:divBdr>
        <w:top w:val="none" w:sz="0" w:space="0" w:color="auto"/>
        <w:left w:val="none" w:sz="0" w:space="0" w:color="auto"/>
        <w:bottom w:val="none" w:sz="0" w:space="0" w:color="auto"/>
        <w:right w:val="none" w:sz="0" w:space="0" w:color="auto"/>
      </w:divBdr>
    </w:div>
    <w:div w:id="1364669432">
      <w:bodyDiv w:val="1"/>
      <w:marLeft w:val="0"/>
      <w:marRight w:val="0"/>
      <w:marTop w:val="0"/>
      <w:marBottom w:val="0"/>
      <w:divBdr>
        <w:top w:val="none" w:sz="0" w:space="0" w:color="auto"/>
        <w:left w:val="none" w:sz="0" w:space="0" w:color="auto"/>
        <w:bottom w:val="none" w:sz="0" w:space="0" w:color="auto"/>
        <w:right w:val="none" w:sz="0" w:space="0" w:color="auto"/>
      </w:divBdr>
    </w:div>
    <w:div w:id="1398935121">
      <w:bodyDiv w:val="1"/>
      <w:marLeft w:val="0"/>
      <w:marRight w:val="0"/>
      <w:marTop w:val="0"/>
      <w:marBottom w:val="0"/>
      <w:divBdr>
        <w:top w:val="none" w:sz="0" w:space="0" w:color="auto"/>
        <w:left w:val="none" w:sz="0" w:space="0" w:color="auto"/>
        <w:bottom w:val="none" w:sz="0" w:space="0" w:color="auto"/>
        <w:right w:val="none" w:sz="0" w:space="0" w:color="auto"/>
      </w:divBdr>
    </w:div>
    <w:div w:id="1581600332">
      <w:bodyDiv w:val="1"/>
      <w:marLeft w:val="0"/>
      <w:marRight w:val="0"/>
      <w:marTop w:val="0"/>
      <w:marBottom w:val="0"/>
      <w:divBdr>
        <w:top w:val="none" w:sz="0" w:space="0" w:color="auto"/>
        <w:left w:val="none" w:sz="0" w:space="0" w:color="auto"/>
        <w:bottom w:val="none" w:sz="0" w:space="0" w:color="auto"/>
        <w:right w:val="none" w:sz="0" w:space="0" w:color="auto"/>
      </w:divBdr>
    </w:div>
    <w:div w:id="1787113795">
      <w:bodyDiv w:val="1"/>
      <w:marLeft w:val="0"/>
      <w:marRight w:val="0"/>
      <w:marTop w:val="0"/>
      <w:marBottom w:val="0"/>
      <w:divBdr>
        <w:top w:val="none" w:sz="0" w:space="0" w:color="auto"/>
        <w:left w:val="none" w:sz="0" w:space="0" w:color="auto"/>
        <w:bottom w:val="none" w:sz="0" w:space="0" w:color="auto"/>
        <w:right w:val="none" w:sz="0" w:space="0" w:color="auto"/>
      </w:divBdr>
    </w:div>
    <w:div w:id="1862471595">
      <w:bodyDiv w:val="1"/>
      <w:marLeft w:val="0"/>
      <w:marRight w:val="0"/>
      <w:marTop w:val="0"/>
      <w:marBottom w:val="0"/>
      <w:divBdr>
        <w:top w:val="none" w:sz="0" w:space="0" w:color="auto"/>
        <w:left w:val="none" w:sz="0" w:space="0" w:color="auto"/>
        <w:bottom w:val="none" w:sz="0" w:space="0" w:color="auto"/>
        <w:right w:val="none" w:sz="0" w:space="0" w:color="auto"/>
      </w:divBdr>
    </w:div>
    <w:div w:id="1935476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lbright.org.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lbright.org.t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ulbright.org.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2014-06-26T09:54:00Z</cp:lastPrinted>
  <dcterms:created xsi:type="dcterms:W3CDTF">2014-07-28T02:28:00Z</dcterms:created>
  <dcterms:modified xsi:type="dcterms:W3CDTF">2014-07-28T02:28:00Z</dcterms:modified>
</cp:coreProperties>
</file>